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تقرير خبرة</w:t>
      </w:r>
    </w:p>
    <w:p>
      <w:pPr>
        <w:jc w:val="right"/>
        <w:bidi/>
      </w:pPr>
      <w:r>
        <w:rPr>
          <w:b/>
        </w:rPr>
        <w:t xml:space="preserve">التاريخ: </w:t>
      </w:r>
      <w:r>
        <w:t>27/6/2011</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4,690,483، 2,463,761 ريال</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