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العامة</w:t>
      </w:r>
    </w:p>
    <w:p>
      <w:pPr>
        <w:jc w:val="right"/>
        <w:bidi/>
      </w:pPr>
      <w:r>
        <w:rPr>
          <w:b/>
        </w:rPr>
        <w:t xml:space="preserve">الدائرة: </w:t>
      </w:r>
      <w:r>
        <w:t>الدائرة الثانية</w:t>
      </w:r>
    </w:p>
    <w:p>
      <w:pPr>
        <w:jc w:val="right"/>
        <w:bidi/>
      </w:pPr>
      <w:r>
        <w:rPr>
          <w:b/>
        </w:rPr>
        <w:t xml:space="preserve">رقم الصك/الحكم: </w:t>
      </w:r>
      <w:r>
        <w:t>٣٨٥٥٨٤٩</w:t>
      </w:r>
    </w:p>
    <w:p>
      <w:pPr>
        <w:jc w:val="right"/>
        <w:bidi/>
      </w:pPr>
      <w:r>
        <w:rPr>
          <w:b/>
        </w:rPr>
        <w:t xml:space="preserve">التاريخ: </w:t>
      </w:r>
      <w:r>
        <w:t>25-10-1438</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368,000,000، 120,000,000، 450,000 ريال</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