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على التماس الشيخ أسامه زيني ـ القضية 42824717.docx</w:t>
      </w:r>
    </w:p>
    <w:p>
      <w:pPr>
        <w:jc w:val="right"/>
        <w:bidi/>
      </w:pPr>
      <w:r>
        <w:rPr>
          <w:b w:val="0"/>
          <w:i/>
          <w:color w:val="0563C1"/>
        </w:rPr>
        <w:t>الرابط: https://drive.google.com/file/d/1q_HFBphb1eUvasmZs2w5IXBcC--BuaHL/view?usp=drivesdk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20/09/1431</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120,000,000 ريال</w:t>
      </w:r>
    </w:p>
    <w:p/>
    <w:p>
      <w:pPr>
        <w:pStyle w:val="Heading2"/>
        <w:jc w:val="right"/>
        <w:bidi/>
      </w:pPr>
      <w:r>
        <w:t>[المتن الفعلي: الوقائع / الأسباب / المنطوق] ===</w:t>
        <w:br/>
        <w:t>مذكرة إلحاقية</w:t>
      </w:r>
    </w:p>
    <w:p>
      <w:pPr>
        <w:jc w:val="right"/>
        <w:bidi/>
      </w:pPr>
      <w:r>
        <w:rPr>
          <w:b w:val="0"/>
          <w:i w:val="0"/>
        </w:rPr>
        <w:t>ببيان أهم التناقضات التي تعزز قبول التماس إعادة النظر</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رابعا: التناقض في الإجراءات:</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