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w:t>
      </w:r>
    </w:p>
    <w:p/>
    <w:p>
      <w:pPr>
        <w:pStyle w:val="Heading2"/>
        <w:jc w:val="right"/>
        <w:bidi/>
      </w:pPr>
      <w:r>
        <w:t>[المُرسَل إليه / المخاطَب والتحية] ===</w:t>
        <w:br/>
        <w:t>خدمة الشكوى الإلكترونية :. المجلس الأعلى للقضاء</w:t>
      </w:r>
    </w:p>
    <w:p>
      <w:pPr>
        <w:pStyle w:val="Heading2"/>
        <w:jc w:val="right"/>
        <w:bidi/>
      </w:pPr>
      <w:r>
        <w:t>[المتن الفعلي: الوقائع / الأسباب / المنطوق] ===</w:t>
        <w:b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pStyle w:val="Heading2"/>
        <w:jc w:val="right"/>
        <w:bidi/>
      </w:pPr>
      <w:r>
        <w:t>[الطلبات / المرفقات] ===</w:t>
        <w:b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pStyle w:val="Heading2"/>
        <w:jc w:val="right"/>
        <w:bidi/>
      </w:pPr>
      <w:r>
        <w:t>[المتن الفعلي: الوقائع / الأسباب / المنطوق] ===</w:t>
        <w:b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