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37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ان المورث نقل الحصص بتاریخ : صفة المدعي حیث عدم</w:t>
      </w:r>
    </w:p>
    <w:p>
      <w:pPr>
        <w:jc w:val="right"/>
        <w:bidi/>
      </w:pPr>
      <w:r>
        <w:rPr>
          <w:b w:val="0"/>
          <w:i w:val="0"/>
        </w:rPr>
        <w:t>ھـ ١٤٣٤ / ٠٢ / ١٠ الغبن ، ثم تم تخارج االخوة في حصصھم بتاریخ : ) أعوام ولم یدعي ٧ ھـ وبقي بعدھا علی قید الحیاة لمدة ( ١٤٣١ / ١٠ / ١٦</w:t>
      </w:r>
    </w:p>
    <w:p>
      <w:pPr>
        <w:jc w:val="right"/>
        <w:bidi/>
      </w:pPr>
      <w:r>
        <w:rPr>
          <w:b w:val="0"/>
          <w:i w:val="0"/>
        </w:rPr>
        <w:t>. ایضا ولم یدعو الغبن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ھـ ، مما یدل عدم صفتھم فالدعوى ١٤٣١ / ١٠ / ١٦ من الوالد في عام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والمورث باع حصتھ بصفتھ الرسمیة في جھة رسمیة علی محررات</w:t>
      </w:r>
    </w:p>
    <w:p>
      <w:pPr>
        <w:jc w:val="right"/>
        <w:bidi/>
      </w:pPr>
      <w:r>
        <w:rPr>
          <w:b w:val="0"/>
          <w:i w:val="0"/>
        </w:rPr>
        <w:t>ي (الباب الثالث) الکتابة (الفصل األول) من ما جاء ف رسمیة وبناءا علی</w:t>
      </w:r>
    </w:p>
    <w:p>
      <w:pPr>
        <w:jc w:val="right"/>
        <w:bidi/>
      </w:pPr>
      <w:r>
        <w:rPr>
          <w:b w:val="0"/>
          <w:i w:val="0"/>
        </w:rPr>
        <w:t>رة (المحررات الرسمیة) وما شملھ من مواد ، فال یحق للدائ نظام االثبات</w:t>
      </w:r>
    </w:p>
    <w:p>
      <w:pPr>
        <w:jc w:val="right"/>
        <w:bidi/>
      </w:pPr>
      <w:r>
        <w:rPr>
          <w:b w:val="0"/>
          <w:i w:val="0"/>
        </w:rPr>
        <w:t>د نظامي غیر ال بموجب مستن إ مخالفة النظام والطعن في ھذا المحرر</w:t>
      </w:r>
    </w:p>
    <w:p>
      <w:pPr>
        <w:jc w:val="right"/>
        <w:bidi/>
      </w:pPr>
      <w:r>
        <w:rPr>
          <w:b w:val="0"/>
          <w:i w:val="0"/>
        </w:rPr>
        <w:t>. النصب واالحتیال و الغبن مثل التزویر ا</w:t>
      </w:r>
    </w:p>
    <w:p>
      <w:pPr>
        <w:jc w:val="right"/>
        <w:bidi/>
      </w:pPr>
      <w:r>
        <w:rPr>
          <w:b w:val="0"/>
          <w:i w:val="0"/>
        </w:rPr>
        <w:t>یر المحاسب الخب عدم قناعتنا لما قامت بھ الدائرة من االخذ لتقریر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ئادلا ھب ذخات ماع ملاظملا ناوید ماما ھنیح يف ةر ٠٢ / ١٢ / ١٤٣٢ ، ـھ</w:t>
      </w:r>
    </w:p>
    <w:p>
      <w:pPr>
        <w:jc w:val="right"/>
        <w:bidi/>
      </w:pPr>
      <w:r>
        <w:rPr>
          <w:b w:val="0"/>
          <w:i w:val="0"/>
        </w:rPr>
        <w:t>وما شملھ الخبره) ي ما نص علیھ نظام االثبات (الباب العاشر ـ ولم تجر</w:t>
      </w:r>
    </w:p>
    <w:p>
      <w:pPr>
        <w:jc w:val="right"/>
        <w:bidi/>
      </w:pPr>
      <w:r>
        <w:rPr>
          <w:b w:val="0"/>
          <w:i w:val="0"/>
        </w:rPr>
        <w:t>وعام ھـ ١٤٣١ عام عدل ال امام کاتب لم یدعو الغبن من مودا ، و</w:t>
      </w:r>
    </w:p>
    <w:p>
      <w:pPr>
        <w:jc w:val="right"/>
        <w:bidi/>
      </w:pPr>
      <w:r>
        <w:rPr>
          <w:b w:val="0"/>
          <w:i w:val="0"/>
        </w:rPr>
        <w:t>تجار والتجار ال یغبن کما ھو طراف یأتي الغبن وجمیع األ س ومن أین . ھـ ١٤٣٤</w:t>
      </w:r>
    </w:p>
    <w:p>
      <w:pPr>
        <w:jc w:val="right"/>
        <w:bidi/>
      </w:pPr>
      <w:r>
        <w:rPr>
          <w:b w:val="0"/>
          <w:i w:val="0"/>
        </w:rPr>
        <w:t>.مولعم</w:t>
      </w:r>
    </w:p>
    <w:p>
      <w:pPr>
        <w:jc w:val="right"/>
        <w:bidi/>
      </w:pPr>
      <w:r>
        <w:rPr>
          <w:b w:val="0"/>
          <w:i w:val="0"/>
        </w:rPr>
        <w:t>: : من نظام المرافعات الشرعية المادة السادسة والسبعون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األھلیة أو المصلحة أو ألي سبب آخر، وکذا الدفع بعدم جواز نظر أو النعدام الصفة الدفع بعدم قبول الدعوى أو قیمتھا، أو</w:t>
      </w:r>
    </w:p>
    <w:p>
      <w:pPr>
        <w:jc w:val="right"/>
        <w:bidi/>
      </w:pPr>
      <w:r>
        <w:rPr>
          <w:b w:val="0"/>
          <w:i w:val="0"/>
        </w:rPr>
        <w:t>الدعوى لسبق الفصل فیھا؛ یجوز الدفع بھ في أي مرحلة تکون فیھا</w:t>
      </w:r>
    </w:p>
    <w:p>
      <w:pPr>
        <w:jc w:val="right"/>
        <w:bidi/>
      </w:pPr>
      <w:r>
        <w:rPr>
          <w:b w:val="0"/>
          <w:i w:val="0"/>
        </w:rPr>
        <w:t>. الدعوى وتحکم بھ المحکمة من تلقاء نفسھا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. ، أجلت نظر الدعوى لتبلیغ ذي الصفة المدعی علیھ قائم علی أساس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