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555555"/>
        </w:rPr>
        <w:t>الرقم: 59 | النوع: حكم / صك | التاريخ:  | القسم: ب. المذكرات المقدمة من الطرفين (49 ملفاً)</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رابعاً: هذه المستندات اللي جابها الطاعن عبارة عن أدلة مترابطة، كان المفروض المحكمة تعتد بها. ونظام الإثبات المادة (1) تقول إن الإثبات هو إقامة الدليل على واقعة قانونية أو تصرف قانوني.</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ثالثاً: الرد على موضوع تناقض منطوق الحكم (الفقرة هـ)</w:t>
      </w:r>
    </w:p>
    <w:p>
      <w:pPr>
        <w:pStyle w:val="Heading2"/>
        <w:jc w:val="right"/>
        <w:bidi/>
      </w:pPr>
      <w:r>
        <w:t>[الطلبات / المرفقات] ===</w:t>
        <w:b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pStyle w:val="Heading2"/>
        <w:jc w:val="right"/>
        <w:bidi/>
      </w:pPr>
      <w:r>
        <w:t>[ترويسة / كليشة رسمية — معلومات متكررة] ===</w:t>
        <w:b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pStyle w:val="Heading2"/>
        <w:jc w:val="right"/>
        <w:bidi/>
      </w:pPr>
      <w:r>
        <w:t>[المتن الفعلي: الوقائع / الأسباب / المنطوق] ===</w:t>
        <w:b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 الحقوق الشخصية لعدنان (نصيبه المباشر في الشركة)</w:t>
      </w:r>
    </w:p>
    <w:p>
      <w:pPr>
        <w:jc w:val="right"/>
        <w:bidi/>
      </w:pPr>
      <w:r>
        <w:rPr>
          <w:b w:val="0"/>
          <w:i w:val="0"/>
        </w:rPr>
        <w:t>\- الحقوق الموروثة (التي آلت إليه من والده)</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pStyle w:val="Heading2"/>
        <w:jc w:val="right"/>
        <w:bidi/>
      </w:pPr>
      <w:r>
        <w:t>[الطلبات / المرفقات] ===</w:t>
        <w:br/>
        <w:t>الخلاصة:</w:t>
      </w:r>
    </w:p>
    <w:p>
      <w:pPr>
        <w:pStyle w:val="Heading2"/>
        <w:jc w:val="right"/>
        <w:bidi/>
      </w:pPr>
      <w:r>
        <w:t>[المتن الفعلي: الوقائع / الأسباب / المنطوق] ===</w:t>
        <w:b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رابعاً: الرد على موضوع عدم التمثيل الصحيح (الفقرة ز)</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