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السبب السابع: عدم تمثيل المطعون ضدها الثانية تمثيلاً صحيحاً (الفقرة ز)</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pStyle w:val="Heading2"/>
        <w:jc w:val="right"/>
        <w:bidi/>
      </w:pPr>
      <w:r>
        <w:t>[الطلبات / المرفقات] ===</w:t>
        <w:br/>
        <w:t>ثالثا: الطلبات</w:t>
      </w:r>
    </w:p>
    <w:p>
      <w:pPr>
        <w:jc w:val="right"/>
        <w:bidi/>
      </w:pPr>
      <w:r>
        <w:rPr>
          <w:b w:val="0"/>
          <w:i w:val="0"/>
        </w:rPr>
        <w:t>لذا، وبالله التوفيق، نطلب من عدالة المحكمة العليا:</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