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قائمة مراجعة المحامي (Human Review Checklist)</w:t>
      </w:r>
    </w:p>
    <w:p>
      <w:pPr>
        <w:jc w:val="right"/>
        <w:bidi/>
      </w:pPr>
      <w:r>
        <w:rPr>
          <w:b w:val="0"/>
          <w:i w:val="0"/>
        </w:rPr>
        <w:t>[مخرج آلي / Script Output - سماوي]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800000"/>
        </w:rPr>
        <w:t>كل بند أدناه ناتج آلي يحتاج تأكيداً بشرياً قبل الاعتماد القانوني.</w:t>
      </w:r>
    </w:p>
    <w:p>
      <w:pPr>
        <w:pStyle w:val="Heading2"/>
        <w:jc w:val="right"/>
        <w:bidi/>
      </w:pPr>
      <w:r>
        <w:t>أ) سلامة الجرد</w:t>
      </w:r>
    </w:p>
    <w:p>
      <w:pPr>
        <w:pStyle w:val="ListBullet"/>
        <w:jc w:val="right"/>
        <w:bidi/>
      </w:pPr>
      <w:r>
        <w:t>[ ] تأكيد العدد الكلي للملفات والمجلدات ومطابقته مع Drive.</w:t>
      </w:r>
    </w:p>
    <w:p>
      <w:pPr>
        <w:pStyle w:val="ListBullet"/>
        <w:jc w:val="right"/>
        <w:bidi/>
      </w:pPr>
      <w:r>
        <w:t>[ ] مراجعة المجلدات التي ظهرت فارغة والتأكد من صلاحيات الوصول.</w:t>
      </w:r>
    </w:p>
    <w:p>
      <w:pPr>
        <w:pStyle w:val="Heading2"/>
        <w:jc w:val="right"/>
        <w:bidi/>
      </w:pPr>
      <w:r>
        <w:t>ب) الكيانات المستخرجة</w:t>
      </w:r>
    </w:p>
    <w:p>
      <w:pPr>
        <w:pStyle w:val="ListBullet"/>
        <w:jc w:val="right"/>
        <w:bidi/>
      </w:pPr>
      <w:r>
        <w:t>[ ] التحقق من أسماء الأطراف والوكلاء والخبراء.</w:t>
      </w:r>
    </w:p>
    <w:p>
      <w:pPr>
        <w:pStyle w:val="ListBullet"/>
        <w:jc w:val="right"/>
        <w:bidi/>
      </w:pPr>
      <w:r>
        <w:t>[ ] التحقق من ربط الأرقام الطويلة بأرقام صكوك/أحكام صحيحة.</w:t>
      </w:r>
    </w:p>
    <w:p>
      <w:pPr>
        <w:pStyle w:val="ListBullet"/>
        <w:jc w:val="right"/>
        <w:bidi/>
      </w:pPr>
      <w:r>
        <w:t>[ ] التحقق من المبالغ المالية ومصادرها (تقييم/حكم/سداد).</w:t>
      </w:r>
    </w:p>
    <w:p>
      <w:pPr>
        <w:pStyle w:val="ListBullet"/>
        <w:jc w:val="right"/>
        <w:bidi/>
      </w:pPr>
      <w:r>
        <w:t>[ ] التحقق من التواريخ الهجرية/الميلادية ومراجع كل منها.</w:t>
      </w:r>
    </w:p>
    <w:p>
      <w:pPr>
        <w:pStyle w:val="Heading2"/>
        <w:jc w:val="right"/>
        <w:bidi/>
      </w:pPr>
      <w:r>
        <w:t>ج) التصنيف</w:t>
      </w:r>
    </w:p>
    <w:p>
      <w:pPr>
        <w:pStyle w:val="ListBullet"/>
        <w:jc w:val="right"/>
        <w:bidi/>
      </w:pPr>
      <w:r>
        <w:t>[ ] اعتماد تصنيف نوع كل مستند.</w:t>
      </w:r>
    </w:p>
    <w:p>
      <w:pPr>
        <w:pStyle w:val="ListBullet"/>
        <w:jc w:val="right"/>
        <w:bidi/>
      </w:pPr>
      <w:r>
        <w:t>[ ] مراجعة تصنيف المقاطع (وقائع/نتائج/دفوع/مخاطر...).</w:t>
      </w:r>
    </w:p>
    <w:p>
      <w:pPr>
        <w:pStyle w:val="Heading2"/>
        <w:jc w:val="right"/>
        <w:bidi/>
      </w:pPr>
      <w:r>
        <w:t>د) الإحالات النظامية</w:t>
      </w:r>
    </w:p>
    <w:p>
      <w:pPr>
        <w:pStyle w:val="ListBullet"/>
        <w:jc w:val="right"/>
        <w:bidi/>
      </w:pPr>
      <w:r>
        <w:t>[ ] التحقق الرسمي من كل نظام ومادة (هيئة الخبراء/أم القرى/ناجز).</w:t>
      </w:r>
    </w:p>
    <w:p>
      <w:pPr>
        <w:pStyle w:val="Heading2"/>
        <w:jc w:val="right"/>
        <w:bidi/>
      </w:pPr>
      <w:r>
        <w:t>هـ) المقارنة مع الدراسة</w:t>
      </w:r>
    </w:p>
    <w:p>
      <w:pPr>
        <w:pStyle w:val="ListBullet"/>
        <w:jc w:val="right"/>
        <w:bidi/>
      </w:pPr>
      <w:r>
        <w:t>[ ] تزويد نص الدراسة (إن لم يُتح) لإتمام مقارنة الفهرس.</w:t>
      </w:r>
    </w:p>
    <w:p>
      <w:pPr>
        <w:pStyle w:val="ListBullet"/>
        <w:jc w:val="right"/>
        <w:bidi/>
      </w:pPr>
      <w:r>
        <w:t>[ ] مراجعة المستندات (بالدراسة فقط) و(بـDrive فقط).</w:t>
      </w:r>
    </w:p>
    <w:p>
      <w:pPr>
        <w:pStyle w:val="Heading2"/>
        <w:jc w:val="right"/>
        <w:bidi/>
      </w:pPr>
      <w:r>
        <w:t>و) الملفات غير المقروءة</w:t>
      </w:r>
    </w:p>
    <w:p>
      <w:pPr>
        <w:pStyle w:val="ListBullet"/>
        <w:jc w:val="right"/>
        <w:bidi/>
      </w:pPr>
      <w:r>
        <w:t>[ ] تشغيل OCR معتمد على الملفات الممسوحة.</w:t>
      </w:r>
    </w:p>
    <w:p>
      <w:pPr>
        <w:pStyle w:val="ListBullet"/>
        <w:jc w:val="right"/>
        <w:bidi/>
      </w:pPr>
      <w:r>
        <w:t>[ ] مراجعة أي ملف فشل في القراءة.</w:t>
      </w:r>
    </w:p>
    <w:p>
      <w:pPr>
        <w:pStyle w:val="Heading2"/>
        <w:jc w:val="right"/>
        <w:bidi/>
      </w:pPr>
      <w:r>
        <w:t>ز) المخرجات الجديدة</w:t>
      </w:r>
    </w:p>
    <w:p>
      <w:pPr>
        <w:pStyle w:val="ListBullet"/>
        <w:jc w:val="right"/>
        <w:bidi/>
      </w:pPr>
      <w:r>
        <w:t>[ ] مراجعة جدول (مخرجات السكريبت الجديدة) وتحديد أثرها على الدراسة.</w:t>
      </w:r>
    </w:p>
    <w:p>
      <w:pPr>
        <w:jc w:val="right"/>
        <w:bidi/>
      </w:pPr>
      <w:r>
        <w:rPr>
          <w:b w:val="0"/>
          <w:i/>
          <w:color w:val="800000"/>
        </w:rPr>
        <w:t>لا يُستخدم وسم [مخرج آلي تم اعتماده قانونياً - أزرق داكن] إلا بعد اعتماد المحامي صراحةً.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