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 ةيراجت لامعأ يراجت مكح ذيفنت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. تاقفرملا حسمل ةدعاسم تاقيبطت مادختسا لضفي يئوض حسام دجوي لا لاح يف</w:t>
      </w:r>
    </w:p>
    <w:p>
      <w:pPr>
        <w:pStyle w:val="Heading2"/>
        <w:jc w:val="right"/>
        <w:bidi/>
      </w:pPr>
      <w:r>
        <w:t>[نص الضبط / الحكم — المتن الفعلي] ===</w:t>
        <w:br/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.هيجراخ ءازجأ ريوصت مدعو ةحفصلا دودحب دنتسملا حسم نوكي نأ بجي , دنتسملا حسم ءانثا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ءاضقلا  تامولعملا ةحول  يلعثلا رينم نب زاوف دمحم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[نص الضبط / الحكم — المتن الفعلي]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1950@moj.gov.sa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&lt;https://www.moj.gov.sa/&gt;</w:t>
      </w:r>
    </w:p>
    <w:p>
      <w:pPr>
        <w:pStyle w:val="Heading2"/>
        <w:jc w:val="right"/>
        <w:bidi/>
      </w:pPr>
      <w:r>
        <w:t>[نص الضبط / الحكم — المتن الفعلي]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