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التجارية</w:t>
      </w:r>
    </w:p>
    <w:p>
      <w:pPr>
        <w:jc w:val="right"/>
        <w:bidi/>
      </w:pPr>
      <w:r>
        <w:rPr>
          <w:b/>
        </w:rPr>
        <w:t xml:space="preserve">رقم القضية: </w:t>
      </w:r>
      <w:r>
        <w:t>42824717</w:t>
      </w:r>
    </w:p>
    <w:p>
      <w:pPr>
        <w:jc w:val="right"/>
        <w:bidi/>
      </w:pPr>
      <w:r>
        <w:rPr>
          <w:b/>
        </w:rPr>
        <w:t xml:space="preserve">الأطراف: </w:t>
      </w:r>
      <w:r>
        <w:t>أسامة زيني، أحمد زيني (المورّث)، عاتقة الحرازي</w:t>
      </w:r>
    </w:p>
    <w:p>
      <w:pPr>
        <w:jc w:val="right"/>
        <w:bidi/>
      </w:pPr>
      <w:r>
        <w:rPr>
          <w:b/>
        </w:rPr>
        <w:t xml:space="preserve">مبالغ بارزة: </w:t>
      </w:r>
      <w:r>
        <w:t>368,757,931، 331,882,138، 450,000 ريال</w:t>
      </w:r>
    </w:p>
    <w:p/>
    <w:p>
      <w:pPr>
        <w:pStyle w:val="Heading2"/>
        <w:jc w:val="right"/>
        <w:bidi/>
      </w:pPr>
      <w:r>
        <w:t>[المتن الفعلي: الوقائع / الأسباب / المنطوق] ===</w:t>
        <w:b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pStyle w:val="Heading2"/>
        <w:jc w:val="right"/>
        <w:bidi/>
      </w:pPr>
      <w:r>
        <w:t>[ترويسة / كليشة رسمية — معلومات متكررة] ===</w:t>
        <w:br/>
        <w:t>E: mohammedalbanna@hejailanlaw.com</w:t>
      </w:r>
    </w:p>
    <w:p>
      <w:pPr>
        <w:pStyle w:val="Heading2"/>
        <w:jc w:val="right"/>
        <w:bidi/>
      </w:pPr>
      <w:r>
        <w:t>[المتن الفعلي: الوقائع / الأسباب / المنطوق] ===</w:t>
        <w:b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pStyle w:val="Heading2"/>
        <w:jc w:val="right"/>
        <w:bidi/>
      </w:pPr>
      <w:r>
        <w:t>[ترويسة / كليشة رسمية — معلومات متكررة] ===</w:t>
        <w:br/>
        <w:t>www.hejailanlaw.com</w:t>
      </w:r>
    </w:p>
    <w:p>
      <w:pPr>
        <w:pStyle w:val="Heading2"/>
        <w:jc w:val="right"/>
        <w:bidi/>
      </w:pPr>
      <w:r>
        <w:t>[المتن الفعلي: الوقائع / الأسباب / المنطوق] ===</w:t>
        <w:b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pStyle w:val="Heading2"/>
        <w:jc w:val="right"/>
        <w:bidi/>
      </w:pPr>
      <w:r>
        <w:t>[ترويسة / كليشة رسمية — معلومات متكررة] ===</w:t>
        <w:br/>
        <w:t>From: Anwar Bahmishan \&lt;anwar.bahmishan@ozco.com\&gt;</w:t>
      </w:r>
    </w:p>
    <w:p>
      <w:pPr>
        <w:pStyle w:val="Heading2"/>
        <w:jc w:val="right"/>
        <w:bidi/>
      </w:pPr>
      <w:r>
        <w:t>[المتن الفعلي: الوقائع / الأسباب / المنطوق] ===</w:t>
        <w:br/>
        <w:t>Sent: Monday, September 29, 2025 11:20 AM</w:t>
      </w:r>
    </w:p>
    <w:p>
      <w:pPr>
        <w:pStyle w:val="Heading2"/>
        <w:jc w:val="right"/>
        <w:bidi/>
      </w:pPr>
      <w:r>
        <w:t>[ترويسة / كليشة رسمية — معلومات متكررة] ===</w:t>
        <w:br/>
        <w:t>To: Saud Mansouri \&lt;mansouri@hejailanlaw.com\&gt;</w:t>
      </w:r>
    </w:p>
    <w:p>
      <w:pPr>
        <w:jc w:val="right"/>
        <w:bidi/>
      </w:pPr>
      <w:r>
        <w:rPr>
          <w:b w:val="0"/>
          <w:i w:val="0"/>
        </w:rPr>
        <w:t>Cc: Dr.Said Yehya \&lt;saidyehya@hejailanlaw.com\&gt;; Ossama Zainy \&lt;Ossama.Zainy@ozco.com\&gt;; Ahmed Zainy</w:t>
      </w:r>
    </w:p>
    <w:p>
      <w:pPr>
        <w:pStyle w:val="Heading2"/>
        <w:jc w:val="right"/>
        <w:bidi/>
      </w:pPr>
      <w:r>
        <w:t>[المتن الفعلي: الوقائع / الأسباب / المنطوق] ===</w:t>
        <w:b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pStyle w:val="Heading2"/>
        <w:jc w:val="right"/>
        <w:bidi/>
      </w:pPr>
      <w:r>
        <w:t>[ترويسة / كليشة رسمية — معلومات متكررة] ===</w:t>
        <w:br/>
        <w:t>ثالثا: تناقض في الحكم - ادعاء القاضي في التسبيب بأن أخر صفحة من الحكم في تسبيب القاضي الصفحة</w:t>
      </w:r>
    </w:p>
    <w:p>
      <w:pPr>
        <w:pStyle w:val="Heading2"/>
        <w:jc w:val="right"/>
        <w:bidi/>
      </w:pPr>
      <w:r>
        <w:t>[المتن الفعلي: الوقائع / الأسباب / المنطوق] ===</w:t>
        <w:b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pStyle w:val="Heading2"/>
        <w:jc w:val="right"/>
        <w:bidi/>
      </w:pPr>
      <w:r>
        <w:t>[بيانات الأطراف: المدعي / المدعى عليه / الحاضرون] ===</w:t>
        <w:br/>
        <w:t>قصورها العقلي منذ ولادتها. وهذا أمر يبطل الوكالة الصادرة منها (مرفق الحكم).</w:t>
      </w:r>
    </w:p>
    <w:p>
      <w:pPr>
        <w:pStyle w:val="Heading2"/>
        <w:jc w:val="right"/>
        <w:bidi/>
      </w:pPr>
      <w:r>
        <w:t>[الطلبات / المرفقات] ===</w:t>
        <w:br/>
        <w:t>المرفقات</w:t>
      </w:r>
    </w:p>
    <w:p>
      <w:pPr>
        <w:pStyle w:val="Heading2"/>
        <w:jc w:val="right"/>
        <w:bidi/>
      </w:pPr>
      <w:r>
        <w:t>[المتن الفعلي: الوقائع / الأسباب / المنطوق] ===</w:t>
        <w:b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pStyle w:val="Heading2"/>
        <w:jc w:val="right"/>
        <w:bidi/>
      </w:pPr>
      <w:r>
        <w:t>[بيانات الأطراف: المدعي / المدعى عليه / الحاضرون] ===</w:t>
        <w:br/>
        <w:t>للمشتري وهو المدعى عليه.</w:t>
      </w:r>
    </w:p>
    <w:p>
      <w:pPr>
        <w:pStyle w:val="Heading2"/>
        <w:jc w:val="right"/>
        <w:bidi/>
      </w:pPr>
      <w:r>
        <w:t>[المتن الفعلي: الوقائع / الأسباب / المنطوق] ===</w:t>
        <w:b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pStyle w:val="Heading2"/>
        <w:jc w:val="right"/>
        <w:bidi/>
      </w:pPr>
      <w:r>
        <w:t>[ترويسة / كليشة رسمية — معلومات متكررة] ===</w:t>
        <w:br/>
        <w:t>فلا يعدل عنها إلى غيرها. كما يتناقض مع الثابت من تواريخ التقارير الطبية التي تثبت بيقين أنها</w:t>
      </w:r>
    </w:p>
    <w:p>
      <w:pPr>
        <w:pStyle w:val="Heading2"/>
        <w:jc w:val="right"/>
        <w:bidi/>
      </w:pPr>
      <w:r>
        <w:t>[المتن الفعلي: الوقائع / الأسباب / المنطوق] ===</w:t>
        <w:b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pStyle w:val="Heading2"/>
        <w:jc w:val="right"/>
        <w:bidi/>
      </w:pPr>
      <w:r>
        <w:t>[بيانات الأطراف: المدعي / المدعى عليه / الحاضرون] ===</w:t>
        <w:br/>
        <w:t>فقد شارك المدعي في إجراءات التخارج وأقرّ بها. لكنه لاحقاً أنكر صحة الحصص</w:t>
      </w:r>
    </w:p>
    <w:p>
      <w:pPr>
        <w:pStyle w:val="Heading2"/>
        <w:jc w:val="right"/>
        <w:bidi/>
      </w:pPr>
      <w:r>
        <w:t>[المتن الفعلي: الوقائع / الأسباب / المنطوق] ===</w:t>
        <w:b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