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رقم القضية: </w:t>
      </w:r>
      <w:r>
        <w:t>42824717</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250,000,000، 217,250,000، 172,613,467 ريال</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ةقالع تاذ فارطا نم ةقحتسم غلابم</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تاليدعتلا</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تاليدعتلا</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تاليدعتلا</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تاليدعتلا</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ةقالع تاذ فارطأ نم ةقحتسم غلابم</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ضارغإل تاليدعت</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ةيكنب تاليهستو ضورق</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تاليدعتلا</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تاليدعتلا</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تاليدعتلا</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تاليدعتلا</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ضارغأل تاليدعت</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تاليدعتلا حيضوتو حرش : ًاسداس</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ةقالع تاذ فارطأل بولطم</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ءاكرشلا نيب ةبساحملا ءارجإ ضارغأل تاليدعت / ـح نم</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ءاكرشلا نيب ةبساحملا ءارجإ ضارغأل تاليدعت / ـح نم</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ءاكرشلا نيب ةبساحملا ءارجإ ضارغأل تاليدعت / ـح نم</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دفولا</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رامثتسالا ضرفلا تاليوحت</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