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وزارة العدل</w:t>
      </w:r>
    </w:p>
    <w:p>
      <w:pPr>
        <w:jc w:val="right"/>
        <w:bidi/>
      </w:pPr>
      <w:r>
        <w:rPr>
          <w:b/>
        </w:rPr>
        <w:t xml:space="preserve">رقم القضية: </w:t>
      </w:r>
      <w:r>
        <w:t>42824717</w:t>
      </w:r>
    </w:p>
    <w:p>
      <w:pPr>
        <w:jc w:val="right"/>
        <w:bidi/>
      </w:pPr>
      <w:r>
        <w:rPr>
          <w:b/>
        </w:rPr>
        <w:t xml:space="preserve">التاريخ: </w:t>
      </w:r>
      <w:r>
        <w:t>13-07-1445</w:t>
      </w:r>
    </w:p>
    <w:p>
      <w:pPr>
        <w:jc w:val="right"/>
        <w:bidi/>
      </w:pPr>
      <w:r>
        <w:rPr>
          <w:b/>
        </w:rPr>
        <w:t xml:space="preserve">الأطراف: </w:t>
      </w:r>
      <w:r>
        <w:t>أسامة زيني، أحمد زيني (المورّث)</w:t>
      </w:r>
    </w:p>
    <w:p/>
    <w:p>
      <w:pPr>
        <w:pStyle w:val="Heading2"/>
        <w:jc w:val="right"/>
        <w:bidi/>
      </w:pPr>
      <w:r>
        <w:t>[الطلبات / المرفقات] ===</w:t>
        <w:b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[ترويسة / كليشة رسمية — معلومات متكررة] ===</w:t>
        <w:br/>
        <w:t>صدرت هذه الوثيقة من النظام الإلكتروني وخدمات التوثيق، ويمكن التحقق من صحتها عبر الخدمات الإلكترونية لوزارة العدل.</w:t>
      </w:r>
    </w:p>
    <w:p>
      <w:pPr>
        <w:pStyle w:val="Heading2"/>
        <w:jc w:val="right"/>
        <w:bidi/>
      </w:pPr>
      <w:r>
        <w:t>[المتن الفعلي: الوقائع / الأسباب / المنطوق] ===</w:t>
        <w:b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رقم الوكالة: 451560570</w:t>
        <w:br/>
        <w:t>تاريخ إصدار الوكالة: 1445/03/20هـ | 2023/10/05م</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