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أبو غزالة ـ المرحلة الأولى (أولاً وثانياً)</w:t>
      </w:r>
    </w:p>
    <w:p>
      <w:pPr>
        <w:jc w:val="right"/>
        <w:bidi/>
      </w:pPr>
      <w:r>
        <w:rPr>
          <w:b w:val="0"/>
          <w:i/>
          <w:color w:val="0563C1"/>
        </w:rPr>
        <w:t>الرابط: https://drive.google.com/file/d/1kpaO4GrXTd2SOn3xwgacSKPkY-i5EEut/view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عقد / اتفاقية</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4,690,483، 2,463,761 ريال</w:t>
      </w:r>
    </w:p>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