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Calibri" w:hAnsi="Calibri"/>
          <w:b/>
          <w:color w:val="9A6A16"/>
          <w:sz w:val="20"/>
        </w:rPr>
        <w:t>PRODUCT &amp; OPERATIONS MANUAL</w:t>
      </w:r>
    </w:p>
    <w:p>
      <w:pPr>
        <w:spacing w:after="80"/>
        <w:jc w:val="center"/>
      </w:pPr>
      <w:r>
        <w:rPr>
          <w:rFonts w:ascii="Calibri" w:hAnsi="Calibri"/>
          <w:b/>
          <w:color w:val="1F3A5F"/>
          <w:sz w:val="60"/>
        </w:rPr>
        <w:t>Studio Ledger</w:t>
      </w:r>
    </w:p>
    <w:p>
      <w:pPr>
        <w:spacing w:after="320"/>
        <w:jc w:val="center"/>
      </w:pPr>
      <w:r>
        <w:rPr>
          <w:rFonts w:ascii="Calibri" w:hAnsi="Calibri"/>
          <w:color w:val="1F4D78"/>
          <w:sz w:val="34"/>
        </w:rPr>
        <w:t>Software Documentation</w:t>
      </w:r>
    </w:p>
    <w:p>
      <w:pPr>
        <w:spacing w:after="320"/>
        <w:jc w:val="center"/>
      </w:pPr>
      <w:r>
        <w:drawing>
          <wp:inline xmlns:a="http://schemas.openxmlformats.org/drawingml/2006/main" xmlns:pic="http://schemas.openxmlformats.org/drawingml/2006/picture">
            <wp:extent cx="5715000" cy="3002853"/>
            <wp:docPr id="1" name="Picture 1" descr="Interior design plan, material samples, ruler, and project ledger"/>
            <wp:cNvGraphicFramePr>
              <a:graphicFrameLocks noChangeAspect="1"/>
            </wp:cNvGraphicFramePr>
            <a:graphic>
              <a:graphicData uri="http://schemas.openxmlformats.org/drawingml/2006/picture">
                <pic:pic>
                  <pic:nvPicPr>
                    <pic:cNvPr id="0" name="og.png"/>
                    <pic:cNvPicPr/>
                  </pic:nvPicPr>
                  <pic:blipFill>
                    <a:blip r:embed="rId11"/>
                    <a:stretch>
                      <a:fillRect/>
                    </a:stretch>
                  </pic:blipFill>
                  <pic:spPr>
                    <a:xfrm>
                      <a:off x="0" y="0"/>
                      <a:ext cx="5715000" cy="3002853"/>
                    </a:xfrm>
                    <a:prstGeom prst="rect"/>
                  </pic:spPr>
                </pic:pic>
              </a:graphicData>
            </a:graphic>
          </wp:inline>
        </w:drawing>
      </w:r>
    </w:p>
    <w:p>
      <w:pPr>
        <w:spacing w:before="80" w:after="80"/>
        <w:jc w:val="center"/>
      </w:pPr>
      <w:r>
        <w:rPr>
          <w:rFonts w:ascii="Calibri" w:hAnsi="Calibri"/>
          <w:b w:val="0"/>
          <w:i/>
          <w:color w:val="5E6875"/>
          <w:sz w:val="24"/>
        </w:rPr>
        <w:t>As-built functional and technical reference</w:t>
      </w:r>
    </w:p>
    <w:p>
      <w:pPr>
        <w:spacing w:after="40"/>
        <w:jc w:val="center"/>
      </w:pPr>
      <w:r>
        <w:rPr>
          <w:rFonts w:ascii="Calibri" w:hAnsi="Calibri"/>
          <w:b/>
          <w:i w:val="0"/>
          <w:color w:val="5E6875"/>
          <w:sz w:val="21"/>
        </w:rPr>
        <w:t>Version 2.0  •  28 July 2026</w:t>
      </w:r>
    </w:p>
    <w:p>
      <w:pPr>
        <w:spacing w:after="0"/>
        <w:jc w:val="center"/>
      </w:pPr>
      <w:r>
        <w:rPr>
          <w:rFonts w:ascii="Calibri" w:hAnsi="Calibri"/>
          <w:b w:val="0"/>
          <w:i w:val="0"/>
          <w:color w:val="5E6875"/>
          <w:sz w:val="19"/>
        </w:rPr>
        <w:t>For studio owners, operations, finance, project teams, developers, and administrators</w:t>
      </w:r>
    </w:p>
    <w:p>
      <w:r>
        <w:br w:type="page"/>
      </w:r>
    </w:p>
    <w:p>
      <w:pPr>
        <w:pStyle w:val="Heading1"/>
        <w:spacing w:before="0"/>
      </w:pPr>
      <w:r>
        <w:t>Contents</w:t>
      </w:r>
    </w:p>
    <w:p>
      <w:pPr>
        <w:spacing w:after="60"/>
        <w:ind w:left="173" w:hanging="173"/>
      </w:pPr>
      <w:r>
        <w:rPr>
          <w:rFonts w:ascii="Calibri" w:hAnsi="Calibri"/>
          <w:b w:val="0"/>
          <w:i w:val="0"/>
          <w:color w:val="1F4D78"/>
          <w:sz w:val="21"/>
        </w:rPr>
        <w:t>1. Document purpose</w:t>
      </w:r>
    </w:p>
    <w:p>
      <w:pPr>
        <w:spacing w:after="60"/>
        <w:ind w:left="173" w:hanging="173"/>
      </w:pPr>
      <w:r>
        <w:rPr>
          <w:rFonts w:ascii="Calibri" w:hAnsi="Calibri"/>
          <w:b w:val="0"/>
          <w:i w:val="0"/>
          <w:color w:val="1F4D78"/>
          <w:sz w:val="21"/>
        </w:rPr>
        <w:t>2. Executive summary</w:t>
      </w:r>
    </w:p>
    <w:p>
      <w:pPr>
        <w:spacing w:after="60"/>
        <w:ind w:left="173" w:hanging="173"/>
      </w:pPr>
      <w:r>
        <w:rPr>
          <w:rFonts w:ascii="Calibri" w:hAnsi="Calibri"/>
          <w:b w:val="0"/>
          <w:i w:val="0"/>
          <w:color w:val="1F4D78"/>
          <w:sz w:val="21"/>
        </w:rPr>
        <w:t>3. Product scope</w:t>
      </w:r>
    </w:p>
    <w:p>
      <w:pPr>
        <w:spacing w:after="60"/>
        <w:ind w:left="173" w:hanging="173"/>
      </w:pPr>
      <w:r>
        <w:rPr>
          <w:rFonts w:ascii="Calibri" w:hAnsi="Calibri"/>
          <w:b w:val="0"/>
          <w:i w:val="0"/>
          <w:color w:val="1F4D78"/>
          <w:sz w:val="21"/>
        </w:rPr>
        <w:t>4. User roles and responsibilities</w:t>
      </w:r>
    </w:p>
    <w:p>
      <w:pPr>
        <w:spacing w:after="60"/>
        <w:ind w:left="173" w:hanging="173"/>
      </w:pPr>
      <w:r>
        <w:rPr>
          <w:rFonts w:ascii="Calibri" w:hAnsi="Calibri"/>
          <w:b w:val="0"/>
          <w:i w:val="0"/>
          <w:color w:val="1F4D78"/>
          <w:sz w:val="21"/>
        </w:rPr>
        <w:t>5. Navigation and module reference</w:t>
      </w:r>
    </w:p>
    <w:p>
      <w:pPr>
        <w:spacing w:after="60"/>
        <w:ind w:left="173" w:hanging="173"/>
      </w:pPr>
      <w:r>
        <w:rPr>
          <w:rFonts w:ascii="Calibri" w:hAnsi="Calibri"/>
          <w:b w:val="0"/>
          <w:i w:val="0"/>
          <w:color w:val="1F4D78"/>
          <w:sz w:val="21"/>
        </w:rPr>
        <w:t>6. End-to-end operating workflows</w:t>
      </w:r>
    </w:p>
    <w:p>
      <w:pPr>
        <w:spacing w:after="60"/>
        <w:ind w:left="173" w:hanging="173"/>
      </w:pPr>
      <w:r>
        <w:rPr>
          <w:rFonts w:ascii="Calibri" w:hAnsi="Calibri"/>
          <w:b w:val="0"/>
          <w:i w:val="0"/>
          <w:color w:val="1F4D78"/>
          <w:sz w:val="21"/>
        </w:rPr>
        <w:t>7. Financial and forecasting logic</w:t>
      </w:r>
    </w:p>
    <w:p>
      <w:pPr>
        <w:spacing w:after="60"/>
        <w:ind w:left="173" w:hanging="173"/>
      </w:pPr>
      <w:r>
        <w:rPr>
          <w:rFonts w:ascii="Calibri" w:hAnsi="Calibri"/>
          <w:b w:val="0"/>
          <w:i w:val="0"/>
          <w:color w:val="1F4D78"/>
          <w:sz w:val="21"/>
        </w:rPr>
        <w:t>8. Record integrity and correction policy</w:t>
      </w:r>
    </w:p>
    <w:p>
      <w:pPr>
        <w:spacing w:after="60"/>
        <w:ind w:left="173" w:hanging="173"/>
      </w:pPr>
      <w:r>
        <w:rPr>
          <w:rFonts w:ascii="Calibri" w:hAnsi="Calibri"/>
          <w:b w:val="0"/>
          <w:i w:val="0"/>
          <w:color w:val="1F4D78"/>
          <w:sz w:val="21"/>
        </w:rPr>
        <w:t>9. System architecture</w:t>
      </w:r>
    </w:p>
    <w:p>
      <w:pPr>
        <w:spacing w:after="60"/>
        <w:ind w:left="173" w:hanging="173"/>
      </w:pPr>
      <w:r>
        <w:rPr>
          <w:rFonts w:ascii="Calibri" w:hAnsi="Calibri"/>
          <w:b w:val="0"/>
          <w:i w:val="0"/>
          <w:color w:val="1F4D78"/>
          <w:sz w:val="21"/>
        </w:rPr>
        <w:t>10. API reference</w:t>
      </w:r>
    </w:p>
    <w:p>
      <w:pPr>
        <w:spacing w:after="60"/>
        <w:ind w:left="173" w:hanging="173"/>
      </w:pPr>
      <w:r>
        <w:rPr>
          <w:rFonts w:ascii="Calibri" w:hAnsi="Calibri"/>
          <w:b w:val="0"/>
          <w:i w:val="0"/>
          <w:color w:val="1F4D78"/>
          <w:sz w:val="21"/>
        </w:rPr>
        <w:t>11. Logical data model</w:t>
      </w:r>
    </w:p>
    <w:p>
      <w:pPr>
        <w:spacing w:after="60"/>
        <w:ind w:left="173" w:hanging="173"/>
      </w:pPr>
      <w:r>
        <w:rPr>
          <w:rFonts w:ascii="Calibri" w:hAnsi="Calibri"/>
          <w:b w:val="0"/>
          <w:i w:val="0"/>
          <w:color w:val="1F4D78"/>
          <w:sz w:val="21"/>
        </w:rPr>
        <w:t>12. Authentication and security</w:t>
      </w:r>
    </w:p>
    <w:p>
      <w:pPr>
        <w:spacing w:after="60"/>
        <w:ind w:left="173" w:hanging="173"/>
      </w:pPr>
      <w:r>
        <w:rPr>
          <w:rFonts w:ascii="Calibri" w:hAnsi="Calibri"/>
          <w:b w:val="0"/>
          <w:i w:val="0"/>
          <w:color w:val="1F4D78"/>
          <w:sz w:val="21"/>
        </w:rPr>
        <w:t>13. Local development</w:t>
      </w:r>
    </w:p>
    <w:p>
      <w:pPr>
        <w:spacing w:after="60"/>
        <w:ind w:left="173" w:hanging="173"/>
      </w:pPr>
      <w:r>
        <w:rPr>
          <w:rFonts w:ascii="Calibri" w:hAnsi="Calibri"/>
          <w:b w:val="0"/>
          <w:i w:val="0"/>
          <w:color w:val="1F4D78"/>
          <w:sz w:val="21"/>
        </w:rPr>
        <w:t>14. Testing strategy and current coverage</w:t>
      </w:r>
    </w:p>
    <w:p>
      <w:pPr>
        <w:spacing w:after="60"/>
        <w:ind w:left="173" w:hanging="173"/>
      </w:pPr>
      <w:r>
        <w:rPr>
          <w:rFonts w:ascii="Calibri" w:hAnsi="Calibri"/>
          <w:b w:val="0"/>
          <w:i w:val="0"/>
          <w:color w:val="1F4D78"/>
          <w:sz w:val="21"/>
        </w:rPr>
        <w:t>15. Backup and recovery</w:t>
      </w:r>
    </w:p>
    <w:p>
      <w:pPr>
        <w:spacing w:after="60"/>
        <w:ind w:left="173" w:hanging="173"/>
      </w:pPr>
      <w:r>
        <w:rPr>
          <w:rFonts w:ascii="Calibri" w:hAnsi="Calibri"/>
          <w:b w:val="0"/>
          <w:i w:val="0"/>
          <w:color w:val="1F4D78"/>
          <w:sz w:val="21"/>
        </w:rPr>
        <w:t>16. Operational controls and recommended cadence</w:t>
      </w:r>
    </w:p>
    <w:p>
      <w:pPr>
        <w:spacing w:after="60"/>
        <w:ind w:left="173" w:hanging="173"/>
      </w:pPr>
      <w:r>
        <w:rPr>
          <w:rFonts w:ascii="Calibri" w:hAnsi="Calibri"/>
          <w:b w:val="0"/>
          <w:i w:val="0"/>
          <w:color w:val="1F4D78"/>
          <w:sz w:val="21"/>
        </w:rPr>
        <w:t>17. Known limitations and risk register</w:t>
      </w:r>
    </w:p>
    <w:p>
      <w:pPr>
        <w:spacing w:after="60"/>
        <w:ind w:left="173" w:hanging="173"/>
      </w:pPr>
      <w:r>
        <w:rPr>
          <w:rFonts w:ascii="Calibri" w:hAnsi="Calibri"/>
          <w:b w:val="0"/>
          <w:i w:val="0"/>
          <w:color w:val="1F4D78"/>
          <w:sz w:val="21"/>
        </w:rPr>
        <w:t>18. Recommended roadmap</w:t>
      </w:r>
    </w:p>
    <w:p>
      <w:pPr>
        <w:spacing w:after="60"/>
        <w:ind w:left="173" w:hanging="173"/>
      </w:pPr>
      <w:r>
        <w:rPr>
          <w:rFonts w:ascii="Calibri" w:hAnsi="Calibri"/>
          <w:b w:val="0"/>
          <w:i w:val="0"/>
          <w:color w:val="1F4D78"/>
          <w:sz w:val="21"/>
        </w:rPr>
        <w:t>19. Acceptance checklist</w:t>
      </w:r>
    </w:p>
    <w:p>
      <w:pPr>
        <w:spacing w:after="60"/>
        <w:ind w:left="173" w:hanging="173"/>
      </w:pPr>
      <w:r>
        <w:rPr>
          <w:rFonts w:ascii="Calibri" w:hAnsi="Calibri"/>
          <w:b w:val="0"/>
          <w:i w:val="0"/>
          <w:color w:val="1F4D78"/>
          <w:sz w:val="21"/>
        </w:rPr>
        <w:t>20. Glossary</w:t>
      </w:r>
    </w:p>
    <w:p>
      <w:pPr>
        <w:spacing w:after="60"/>
        <w:ind w:left="173" w:hanging="173"/>
      </w:pPr>
      <w:r>
        <w:rPr>
          <w:rFonts w:ascii="Calibri" w:hAnsi="Calibri"/>
          <w:b w:val="0"/>
          <w:i w:val="0"/>
          <w:color w:val="1F4D78"/>
          <w:sz w:val="21"/>
        </w:rPr>
        <w:t>21. Repository reference</w:t>
      </w:r>
    </w:p>
    <w:p>
      <w:r>
        <w:br w:type="page"/>
      </w:r>
    </w:p>
    <w:p>
      <w:pPr>
        <w:spacing w:after="80"/>
      </w:pPr>
      <w:r>
        <w:rPr>
          <w:rFonts w:ascii="Calibri" w:hAnsi="Calibri"/>
          <w:b/>
          <w:i w:val="0"/>
          <w:color w:val="20262E"/>
          <w:sz w:val="22"/>
        </w:rPr>
        <w:t>Product:</w:t>
      </w:r>
      <w:r>
        <w:rPr>
          <w:rFonts w:ascii="Calibri" w:hAnsi="Calibri"/>
          <w:b w:val="0"/>
          <w:i w:val="0"/>
          <w:color w:val="20262E"/>
          <w:sz w:val="22"/>
        </w:rPr>
        <w:t xml:space="preserve"> Studio Ledger</w:t>
      </w:r>
    </w:p>
    <w:p>
      <w:pPr>
        <w:spacing w:after="80"/>
      </w:pPr>
      <w:r>
        <w:rPr>
          <w:rFonts w:ascii="Calibri" w:hAnsi="Calibri"/>
          <w:b/>
          <w:i w:val="0"/>
          <w:color w:val="20262E"/>
          <w:sz w:val="22"/>
        </w:rPr>
        <w:t>Version:</w:t>
      </w:r>
      <w:r>
        <w:rPr>
          <w:rFonts w:ascii="Calibri" w:hAnsi="Calibri"/>
          <w:b w:val="0"/>
          <w:i w:val="0"/>
          <w:color w:val="20262E"/>
          <w:sz w:val="22"/>
        </w:rPr>
        <w:t xml:space="preserve"> 2.0</w:t>
      </w:r>
    </w:p>
    <w:p>
      <w:pPr>
        <w:spacing w:after="80"/>
      </w:pPr>
      <w:r>
        <w:rPr>
          <w:rFonts w:ascii="Calibri" w:hAnsi="Calibri"/>
          <w:b/>
          <w:i w:val="0"/>
          <w:color w:val="20262E"/>
          <w:sz w:val="22"/>
        </w:rPr>
        <w:t>Document status:</w:t>
      </w:r>
      <w:r>
        <w:rPr>
          <w:rFonts w:ascii="Calibri" w:hAnsi="Calibri"/>
          <w:b w:val="0"/>
          <w:i w:val="0"/>
          <w:color w:val="20262E"/>
          <w:sz w:val="22"/>
        </w:rPr>
        <w:t xml:space="preserve"> As-built functional and technical reference</w:t>
      </w:r>
    </w:p>
    <w:p>
      <w:pPr>
        <w:spacing w:after="80"/>
      </w:pPr>
      <w:r>
        <w:rPr>
          <w:rFonts w:ascii="Calibri" w:hAnsi="Calibri"/>
          <w:b/>
          <w:i w:val="0"/>
          <w:color w:val="20262E"/>
          <w:sz w:val="22"/>
        </w:rPr>
        <w:t>Prepared:</w:t>
      </w:r>
      <w:r>
        <w:rPr>
          <w:rFonts w:ascii="Calibri" w:hAnsi="Calibri"/>
          <w:b w:val="0"/>
          <w:i w:val="0"/>
          <w:color w:val="20262E"/>
          <w:sz w:val="22"/>
        </w:rPr>
        <w:t xml:space="preserve"> 28 July 2026</w:t>
      </w:r>
    </w:p>
    <w:p>
      <w:pPr>
        <w:spacing w:after="80"/>
      </w:pPr>
      <w:r>
        <w:rPr>
          <w:rFonts w:ascii="Calibri" w:hAnsi="Calibri"/>
          <w:b/>
          <w:i w:val="0"/>
          <w:color w:val="20262E"/>
          <w:sz w:val="22"/>
        </w:rPr>
        <w:t>Audience:</w:t>
      </w:r>
      <w:r>
        <w:rPr>
          <w:rFonts w:ascii="Calibri" w:hAnsi="Calibri"/>
          <w:b w:val="0"/>
          <w:i w:val="0"/>
          <w:color w:val="20262E"/>
          <w:sz w:val="22"/>
        </w:rPr>
        <w:t xml:space="preserve"> Studio owners, operations managers, project managers, finance staff, developers, testers, and system administrators</w:t>
      </w:r>
    </w:p>
    <w:p>
      <w:pPr>
        <w:pStyle w:val="Heading1"/>
      </w:pPr>
      <w:r>
        <w:t>1. Document purpose</w:t>
      </w:r>
    </w:p>
    <w:p>
      <w:pPr>
        <w:widowControl/>
      </w:pPr>
      <w:r>
        <w:rPr>
          <w:rFonts w:ascii="Calibri" w:hAnsi="Calibri"/>
          <w:b w:val="0"/>
          <w:i w:val="0"/>
          <w:color w:val="20262E"/>
          <w:sz w:val="22"/>
        </w:rPr>
        <w:t>This document describes the current Studio Ledger application as implemented in the repository. It combines:</w:t>
      </w:r>
    </w:p>
    <w:p>
      <w:pPr>
        <w:spacing w:after="80" w:line="300" w:lineRule="auto"/>
        <w:numPr>
          <w:ilvl w:val="0"/>
          <w:numId w:val="10"/>
        </w:numPr>
      </w:pPr>
      <w:r>
        <w:rPr>
          <w:rFonts w:ascii="Calibri" w:hAnsi="Calibri"/>
          <w:b w:val="0"/>
          <w:i w:val="0"/>
          <w:color w:val="20262E"/>
          <w:sz w:val="22"/>
        </w:rPr>
        <w:t>a functional guide for daily studio operations;</w:t>
      </w:r>
    </w:p>
    <w:p>
      <w:pPr>
        <w:spacing w:after="80" w:line="300" w:lineRule="auto"/>
        <w:numPr>
          <w:ilvl w:val="0"/>
          <w:numId w:val="10"/>
        </w:numPr>
      </w:pPr>
      <w:r>
        <w:rPr>
          <w:rFonts w:ascii="Calibri" w:hAnsi="Calibri"/>
          <w:b w:val="0"/>
          <w:i w:val="0"/>
          <w:color w:val="20262E"/>
          <w:sz w:val="22"/>
        </w:rPr>
        <w:t>the business and accounting rules enforced by the product;</w:t>
      </w:r>
    </w:p>
    <w:p>
      <w:pPr>
        <w:spacing w:after="80" w:line="300" w:lineRule="auto"/>
        <w:numPr>
          <w:ilvl w:val="0"/>
          <w:numId w:val="10"/>
        </w:numPr>
      </w:pPr>
      <w:r>
        <w:rPr>
          <w:rFonts w:ascii="Calibri" w:hAnsi="Calibri"/>
          <w:b w:val="0"/>
          <w:i w:val="0"/>
          <w:color w:val="20262E"/>
          <w:sz w:val="22"/>
        </w:rPr>
        <w:t>a technical architecture and data model reference;</w:t>
      </w:r>
    </w:p>
    <w:p>
      <w:pPr>
        <w:spacing w:after="80" w:line="300" w:lineRule="auto"/>
        <w:numPr>
          <w:ilvl w:val="0"/>
          <w:numId w:val="10"/>
        </w:numPr>
      </w:pPr>
      <w:r>
        <w:rPr>
          <w:rFonts w:ascii="Calibri" w:hAnsi="Calibri"/>
          <w:b w:val="0"/>
          <w:i w:val="0"/>
          <w:color w:val="20262E"/>
          <w:sz w:val="22"/>
        </w:rPr>
        <w:t>local development, testing, deployment, backup, and recovery guidance; and</w:t>
      </w:r>
    </w:p>
    <w:p>
      <w:pPr>
        <w:spacing w:after="80" w:line="300" w:lineRule="auto"/>
        <w:numPr>
          <w:ilvl w:val="0"/>
          <w:numId w:val="10"/>
        </w:numPr>
      </w:pPr>
      <w:r>
        <w:rPr>
          <w:rFonts w:ascii="Calibri" w:hAnsi="Calibri"/>
          <w:b w:val="0"/>
          <w:i w:val="0"/>
          <w:color w:val="20262E"/>
          <w:sz w:val="22"/>
        </w:rPr>
        <w:t>known limitations and the recommended product roadmap.</w:t>
      </w:r>
    </w:p>
    <w:p>
      <w:pPr>
        <w:widowControl/>
      </w:pPr>
      <w:r>
        <w:rPr>
          <w:rFonts w:ascii="Calibri" w:hAnsi="Calibri"/>
          <w:b w:val="0"/>
          <w:i w:val="0"/>
          <w:color w:val="20262E"/>
          <w:sz w:val="22"/>
        </w:rPr>
        <w:t>The document is an as-built reference, not an assertion that Studio Ledger is a certified accounting, tax, legal, or project-planning system. Tax treatment, contracts, revenue recognition, statutory record retention, and payment terms must be reviewed for the studio's jurisdiction and business model.</w:t>
      </w:r>
    </w:p>
    <w:p>
      <w:pPr>
        <w:pStyle w:val="Heading1"/>
      </w:pPr>
      <w:r>
        <w:t>2. Executive summary</w:t>
      </w:r>
    </w:p>
    <w:p>
      <w:pPr>
        <w:widowControl/>
      </w:pPr>
      <w:r>
        <w:rPr>
          <w:rFonts w:ascii="Calibri" w:hAnsi="Calibri"/>
          <w:b w:val="0"/>
          <w:i w:val="0"/>
          <w:color w:val="20262E"/>
          <w:sz w:val="22"/>
        </w:rPr>
        <w:t>Studio Ledger is a protected, cloud-backed operations and finance application for an interior design and execution studio. It connects the commercial, procurement, delivery, receivable, and payable sides of each project.</w:t>
      </w:r>
    </w:p>
    <w:p>
      <w:pPr>
        <w:widowControl/>
      </w:pPr>
      <w:r>
        <w:rPr>
          <w:rFonts w:ascii="Calibri" w:hAnsi="Calibri"/>
          <w:b w:val="0"/>
          <w:i w:val="0"/>
          <w:color w:val="20262E"/>
          <w:sz w:val="22"/>
        </w:rPr>
        <w:t>The product was created to solve thirteen recurring operational problems: unallocated project expenses, incomplete vendor-payment history, missing small expenses, combined vendor invoices spanning multiple sites, weak payment allocation, unstructured supervisor requests, project delays, budget overruns, insufficient estimates, difficulty pricing before and after floor planning, loss-making design-to-execution commercial terms, and delayed client collections.</w:t>
      </w:r>
    </w:p>
    <w:p>
      <w:pPr>
        <w:widowControl/>
      </w:pPr>
      <w:r>
        <w:rPr>
          <w:rFonts w:ascii="Calibri" w:hAnsi="Calibri"/>
          <w:b w:val="0"/>
          <w:i w:val="0"/>
          <w:color w:val="20262E"/>
          <w:sz w:val="22"/>
        </w:rPr>
        <w:t>Studio Ledger addresses these problems through:</w:t>
      </w:r>
    </w:p>
    <w:p>
      <w:pPr>
        <w:spacing w:after="80" w:line="300" w:lineRule="auto"/>
        <w:numPr>
          <w:ilvl w:val="0"/>
          <w:numId w:val="11"/>
        </w:numPr>
      </w:pPr>
      <w:r>
        <w:rPr>
          <w:rFonts w:ascii="Calibri" w:hAnsi="Calibri"/>
          <w:b w:val="0"/>
          <w:i w:val="0"/>
          <w:color w:val="20262E"/>
          <w:sz w:val="22"/>
        </w:rPr>
        <w:t>project-level cost rollups and forecast-versus-baseline reporting;</w:t>
      </w:r>
    </w:p>
    <w:p>
      <w:pPr>
        <w:spacing w:after="80" w:line="300" w:lineRule="auto"/>
        <w:numPr>
          <w:ilvl w:val="0"/>
          <w:numId w:val="11"/>
        </w:numPr>
      </w:pPr>
      <w:r>
        <w:rPr>
          <w:rFonts w:ascii="Calibri" w:hAnsi="Calibri"/>
          <w:b w:val="0"/>
          <w:i w:val="0"/>
          <w:color w:val="20262E"/>
          <w:sz w:val="22"/>
        </w:rPr>
        <w:t>supervisor material requests with approval and delivery statuses;</w:t>
      </w:r>
    </w:p>
    <w:p>
      <w:pPr>
        <w:spacing w:after="80" w:line="300" w:lineRule="auto"/>
        <w:numPr>
          <w:ilvl w:val="0"/>
          <w:numId w:val="11"/>
        </w:numPr>
      </w:pPr>
      <w:r>
        <w:rPr>
          <w:rFonts w:ascii="Calibri" w:hAnsi="Calibri"/>
          <w:b w:val="0"/>
          <w:i w:val="0"/>
          <w:color w:val="20262E"/>
          <w:sz w:val="22"/>
        </w:rPr>
        <w:t>one vendor invoice containing separately allocated project lines;</w:t>
      </w:r>
    </w:p>
    <w:p>
      <w:pPr>
        <w:spacing w:after="80" w:line="300" w:lineRule="auto"/>
        <w:numPr>
          <w:ilvl w:val="0"/>
          <w:numId w:val="11"/>
        </w:numPr>
      </w:pPr>
      <w:r>
        <w:rPr>
          <w:rFonts w:ascii="Calibri" w:hAnsi="Calibri"/>
          <w:b w:val="0"/>
          <w:i w:val="0"/>
          <w:color w:val="20262E"/>
          <w:sz w:val="22"/>
        </w:rPr>
        <w:t>vendor payments allocated to specific open bill lines;</w:t>
      </w:r>
    </w:p>
    <w:p>
      <w:pPr>
        <w:spacing w:after="80" w:line="300" w:lineRule="auto"/>
        <w:numPr>
          <w:ilvl w:val="0"/>
          <w:numId w:val="11"/>
        </w:numPr>
      </w:pPr>
      <w:r>
        <w:rPr>
          <w:rFonts w:ascii="Calibri" w:hAnsi="Calibri"/>
          <w:b w:val="0"/>
          <w:i w:val="0"/>
          <w:color w:val="20262E"/>
          <w:sz w:val="22"/>
        </w:rPr>
        <w:t>petty-cash submission, approval, and reimbursement;</w:t>
      </w:r>
    </w:p>
    <w:p>
      <w:pPr>
        <w:spacing w:after="80" w:line="300" w:lineRule="auto"/>
        <w:numPr>
          <w:ilvl w:val="0"/>
          <w:numId w:val="11"/>
        </w:numPr>
      </w:pPr>
      <w:r>
        <w:rPr>
          <w:rFonts w:ascii="Calibri" w:hAnsi="Calibri"/>
          <w:b w:val="0"/>
          <w:i w:val="0"/>
          <w:color w:val="20262E"/>
          <w:sz w:val="22"/>
        </w:rPr>
        <w:t>rough pre-design estimates and detailed room-wise BOQs;</w:t>
      </w:r>
    </w:p>
    <w:p>
      <w:pPr>
        <w:spacing w:after="80" w:line="300" w:lineRule="auto"/>
        <w:numPr>
          <w:ilvl w:val="0"/>
          <w:numId w:val="11"/>
        </w:numPr>
      </w:pPr>
      <w:r>
        <w:rPr>
          <w:rFonts w:ascii="Calibri" w:hAnsi="Calibri"/>
          <w:b w:val="0"/>
          <w:i w:val="0"/>
          <w:color w:val="20262E"/>
          <w:sz w:val="22"/>
        </w:rPr>
        <w:t>versioned and locked estimate baselines;</w:t>
      </w:r>
    </w:p>
    <w:p>
      <w:pPr>
        <w:spacing w:after="80" w:line="300" w:lineRule="auto"/>
        <w:numPr>
          <w:ilvl w:val="0"/>
          <w:numId w:val="11"/>
        </w:numPr>
      </w:pPr>
      <w:r>
        <w:rPr>
          <w:rFonts w:ascii="Calibri" w:hAnsi="Calibri"/>
          <w:b w:val="0"/>
          <w:i w:val="0"/>
          <w:color w:val="20262E"/>
          <w:sz w:val="22"/>
        </w:rPr>
        <w:t>milestone ownership, progress, blockers, and overdue indicators;</w:t>
      </w:r>
    </w:p>
    <w:p>
      <w:pPr>
        <w:spacing w:after="80" w:line="300" w:lineRule="auto"/>
        <w:numPr>
          <w:ilvl w:val="0"/>
          <w:numId w:val="11"/>
        </w:numPr>
      </w:pPr>
      <w:r>
        <w:rPr>
          <w:rFonts w:ascii="Calibri" w:hAnsi="Calibri"/>
          <w:b w:val="0"/>
          <w:i w:val="0"/>
          <w:color w:val="20262E"/>
          <w:sz w:val="22"/>
        </w:rPr>
        <w:t>client invoice aging and collection follow-up records;</w:t>
      </w:r>
    </w:p>
    <w:p>
      <w:pPr>
        <w:spacing w:after="80" w:line="300" w:lineRule="auto"/>
        <w:numPr>
          <w:ilvl w:val="0"/>
          <w:numId w:val="11"/>
        </w:numPr>
      </w:pPr>
      <w:r>
        <w:rPr>
          <w:rFonts w:ascii="Calibri" w:hAnsi="Calibri"/>
          <w:b w:val="0"/>
          <w:i w:val="0"/>
          <w:color w:val="20262E"/>
          <w:sz w:val="22"/>
        </w:rPr>
        <w:t>design-fee and execution-credit commercial terms; and</w:t>
      </w:r>
    </w:p>
    <w:p>
      <w:pPr>
        <w:spacing w:after="80" w:line="300" w:lineRule="auto"/>
        <w:numPr>
          <w:ilvl w:val="0"/>
          <w:numId w:val="11"/>
        </w:numPr>
      </w:pPr>
      <w:r>
        <w:rPr>
          <w:rFonts w:ascii="Calibri" w:hAnsi="Calibri"/>
          <w:b w:val="0"/>
          <w:i w:val="0"/>
          <w:color w:val="20262E"/>
          <w:sz w:val="22"/>
        </w:rPr>
        <w:t>deletion, reversal, backup, and concurrency safeguards that preserve financial history.</w:t>
      </w:r>
    </w:p>
    <w:p>
      <w:pPr>
        <w:pStyle w:val="Heading1"/>
      </w:pPr>
      <w:r>
        <w:t>3. Product scope</w:t>
      </w:r>
    </w:p>
    <w:p>
      <w:pPr>
        <w:pStyle w:val="Heading2"/>
      </w:pPr>
      <w:r>
        <w:t>3.1 In scope</w:t>
      </w:r>
    </w:p>
    <w:p>
      <w:pPr>
        <w:widowControl/>
      </w:pPr>
      <w:r>
        <w:rPr>
          <w:rFonts w:ascii="Calibri" w:hAnsi="Calibri"/>
          <w:b w:val="0"/>
          <w:i w:val="0"/>
          <w:color w:val="20262E"/>
          <w:sz w:val="22"/>
        </w:rPr>
        <w:t>Studio Ledger currently includes:</w:t>
      </w:r>
    </w:p>
    <w:p>
      <w:pPr>
        <w:spacing w:after="80" w:line="300" w:lineRule="auto"/>
        <w:numPr>
          <w:ilvl w:val="0"/>
          <w:numId w:val="10"/>
        </w:numPr>
      </w:pPr>
      <w:r>
        <w:rPr>
          <w:rFonts w:ascii="Calibri" w:hAnsi="Calibri"/>
          <w:b w:val="0"/>
          <w:i w:val="0"/>
          <w:color w:val="20262E"/>
          <w:sz w:val="22"/>
        </w:rPr>
        <w:t>Dashboard and studio-level KPIs</w:t>
      </w:r>
    </w:p>
    <w:p>
      <w:pPr>
        <w:spacing w:after="80" w:line="300" w:lineRule="auto"/>
        <w:numPr>
          <w:ilvl w:val="0"/>
          <w:numId w:val="10"/>
        </w:numPr>
      </w:pPr>
      <w:r>
        <w:rPr>
          <w:rFonts w:ascii="Calibri" w:hAnsi="Calibri"/>
          <w:b w:val="0"/>
          <w:i w:val="0"/>
          <w:color w:val="20262E"/>
          <w:sz w:val="22"/>
        </w:rPr>
        <w:t>Project and client records</w:t>
      </w:r>
    </w:p>
    <w:p>
      <w:pPr>
        <w:spacing w:after="80" w:line="300" w:lineRule="auto"/>
        <w:numPr>
          <w:ilvl w:val="0"/>
          <w:numId w:val="10"/>
        </w:numPr>
      </w:pPr>
      <w:r>
        <w:rPr>
          <w:rFonts w:ascii="Calibri" w:hAnsi="Calibri"/>
          <w:b w:val="0"/>
          <w:i w:val="0"/>
          <w:color w:val="20262E"/>
          <w:sz w:val="22"/>
        </w:rPr>
        <w:t>Rough estimates</w:t>
      </w:r>
    </w:p>
    <w:p>
      <w:pPr>
        <w:spacing w:after="80" w:line="300" w:lineRule="auto"/>
        <w:numPr>
          <w:ilvl w:val="0"/>
          <w:numId w:val="10"/>
        </w:numPr>
      </w:pPr>
      <w:r>
        <w:rPr>
          <w:rFonts w:ascii="Calibri" w:hAnsi="Calibri"/>
          <w:b w:val="0"/>
          <w:i w:val="0"/>
          <w:color w:val="20262E"/>
          <w:sz w:val="22"/>
        </w:rPr>
        <w:t>Detailed BOQs</w:t>
      </w:r>
    </w:p>
    <w:p>
      <w:pPr>
        <w:spacing w:after="80" w:line="300" w:lineRule="auto"/>
        <w:numPr>
          <w:ilvl w:val="0"/>
          <w:numId w:val="10"/>
        </w:numPr>
      </w:pPr>
      <w:r>
        <w:rPr>
          <w:rFonts w:ascii="Calibri" w:hAnsi="Calibri"/>
          <w:b w:val="0"/>
          <w:i w:val="0"/>
          <w:color w:val="20262E"/>
          <w:sz w:val="22"/>
        </w:rPr>
        <w:t>Estimate revisions and approved baselines</w:t>
      </w:r>
    </w:p>
    <w:p>
      <w:pPr>
        <w:spacing w:after="80" w:line="300" w:lineRule="auto"/>
        <w:numPr>
          <w:ilvl w:val="0"/>
          <w:numId w:val="10"/>
        </w:numPr>
      </w:pPr>
      <w:r>
        <w:rPr>
          <w:rFonts w:ascii="Calibri" w:hAnsi="Calibri"/>
          <w:b w:val="0"/>
          <w:i w:val="0"/>
          <w:color w:val="20262E"/>
          <w:sz w:val="22"/>
        </w:rPr>
        <w:t>Project cost control</w:t>
      </w:r>
    </w:p>
    <w:p>
      <w:pPr>
        <w:spacing w:after="80" w:line="300" w:lineRule="auto"/>
        <w:numPr>
          <w:ilvl w:val="0"/>
          <w:numId w:val="10"/>
        </w:numPr>
      </w:pPr>
      <w:r>
        <w:rPr>
          <w:rFonts w:ascii="Calibri" w:hAnsi="Calibri"/>
          <w:b w:val="0"/>
          <w:i w:val="0"/>
          <w:color w:val="20262E"/>
          <w:sz w:val="22"/>
        </w:rPr>
        <w:t>Supervisors</w:t>
      </w:r>
    </w:p>
    <w:p>
      <w:pPr>
        <w:spacing w:after="80" w:line="300" w:lineRule="auto"/>
        <w:numPr>
          <w:ilvl w:val="0"/>
          <w:numId w:val="10"/>
        </w:numPr>
      </w:pPr>
      <w:r>
        <w:rPr>
          <w:rFonts w:ascii="Calibri" w:hAnsi="Calibri"/>
          <w:b w:val="0"/>
          <w:i w:val="0"/>
          <w:color w:val="20262E"/>
          <w:sz w:val="22"/>
        </w:rPr>
        <w:t>Material requests</w:t>
      </w:r>
    </w:p>
    <w:p>
      <w:pPr>
        <w:spacing w:after="80" w:line="300" w:lineRule="auto"/>
        <w:numPr>
          <w:ilvl w:val="0"/>
          <w:numId w:val="10"/>
        </w:numPr>
      </w:pPr>
      <w:r>
        <w:rPr>
          <w:rFonts w:ascii="Calibri" w:hAnsi="Calibri"/>
          <w:b w:val="0"/>
          <w:i w:val="0"/>
          <w:color w:val="20262E"/>
          <w:sz w:val="22"/>
        </w:rPr>
        <w:t>Multi-project vendor bills</w:t>
      </w:r>
    </w:p>
    <w:p>
      <w:pPr>
        <w:spacing w:after="80" w:line="300" w:lineRule="auto"/>
        <w:numPr>
          <w:ilvl w:val="0"/>
          <w:numId w:val="10"/>
        </w:numPr>
      </w:pPr>
      <w:r>
        <w:rPr>
          <w:rFonts w:ascii="Calibri" w:hAnsi="Calibri"/>
          <w:b w:val="0"/>
          <w:i w:val="0"/>
          <w:color w:val="20262E"/>
          <w:sz w:val="22"/>
        </w:rPr>
        <w:t>Vendor bill-line allocations</w:t>
      </w:r>
    </w:p>
    <w:p>
      <w:pPr>
        <w:spacing w:after="80" w:line="300" w:lineRule="auto"/>
        <w:numPr>
          <w:ilvl w:val="0"/>
          <w:numId w:val="10"/>
        </w:numPr>
      </w:pPr>
      <w:r>
        <w:rPr>
          <w:rFonts w:ascii="Calibri" w:hAnsi="Calibri"/>
          <w:b w:val="0"/>
          <w:i w:val="0"/>
          <w:color w:val="20262E"/>
          <w:sz w:val="22"/>
        </w:rPr>
        <w:t>Petty cash and small expenses</w:t>
      </w:r>
    </w:p>
    <w:p>
      <w:pPr>
        <w:spacing w:after="80" w:line="300" w:lineRule="auto"/>
        <w:numPr>
          <w:ilvl w:val="0"/>
          <w:numId w:val="10"/>
        </w:numPr>
      </w:pPr>
      <w:r>
        <w:rPr>
          <w:rFonts w:ascii="Calibri" w:hAnsi="Calibri"/>
          <w:b w:val="0"/>
          <w:i w:val="0"/>
          <w:color w:val="20262E"/>
          <w:sz w:val="22"/>
        </w:rPr>
        <w:t>Project milestones and delay tracking</w:t>
      </w:r>
    </w:p>
    <w:p>
      <w:pPr>
        <w:spacing w:after="80" w:line="300" w:lineRule="auto"/>
        <w:numPr>
          <w:ilvl w:val="0"/>
          <w:numId w:val="10"/>
        </w:numPr>
      </w:pPr>
      <w:r>
        <w:rPr>
          <w:rFonts w:ascii="Calibri" w:hAnsi="Calibri"/>
          <w:b w:val="0"/>
          <w:i w:val="0"/>
          <w:color w:val="20262E"/>
          <w:sz w:val="22"/>
        </w:rPr>
        <w:t>Client invoices and invoice printing</w:t>
      </w:r>
    </w:p>
    <w:p>
      <w:pPr>
        <w:spacing w:after="80" w:line="300" w:lineRule="auto"/>
        <w:numPr>
          <w:ilvl w:val="0"/>
          <w:numId w:val="10"/>
        </w:numPr>
      </w:pPr>
      <w:r>
        <w:rPr>
          <w:rFonts w:ascii="Calibri" w:hAnsi="Calibri"/>
          <w:b w:val="0"/>
          <w:i w:val="0"/>
          <w:color w:val="20262E"/>
          <w:sz w:val="22"/>
        </w:rPr>
        <w:t>Receivables and invoice aging</w:t>
      </w:r>
    </w:p>
    <w:p>
      <w:pPr>
        <w:spacing w:after="80" w:line="300" w:lineRule="auto"/>
        <w:numPr>
          <w:ilvl w:val="0"/>
          <w:numId w:val="10"/>
        </w:numPr>
      </w:pPr>
      <w:r>
        <w:rPr>
          <w:rFonts w:ascii="Calibri" w:hAnsi="Calibri"/>
          <w:b w:val="0"/>
          <w:i w:val="0"/>
          <w:color w:val="20262E"/>
          <w:sz w:val="22"/>
        </w:rPr>
        <w:t>Collection follow-ups and payment promises</w:t>
      </w:r>
    </w:p>
    <w:p>
      <w:pPr>
        <w:spacing w:after="80" w:line="300" w:lineRule="auto"/>
        <w:numPr>
          <w:ilvl w:val="0"/>
          <w:numId w:val="10"/>
        </w:numPr>
      </w:pPr>
      <w:r>
        <w:rPr>
          <w:rFonts w:ascii="Calibri" w:hAnsi="Calibri"/>
          <w:b w:val="0"/>
          <w:i w:val="0"/>
          <w:color w:val="20262E"/>
          <w:sz w:val="22"/>
        </w:rPr>
        <w:t>Vendor expenses and payables</w:t>
      </w:r>
    </w:p>
    <w:p>
      <w:pPr>
        <w:spacing w:after="80" w:line="300" w:lineRule="auto"/>
        <w:numPr>
          <w:ilvl w:val="0"/>
          <w:numId w:val="10"/>
        </w:numPr>
      </w:pPr>
      <w:r>
        <w:rPr>
          <w:rFonts w:ascii="Calibri" w:hAnsi="Calibri"/>
          <w:b w:val="0"/>
          <w:i w:val="0"/>
          <w:color w:val="20262E"/>
          <w:sz w:val="22"/>
        </w:rPr>
        <w:t>Client receipts and vendor payments</w:t>
      </w:r>
    </w:p>
    <w:p>
      <w:pPr>
        <w:spacing w:after="80" w:line="300" w:lineRule="auto"/>
        <w:numPr>
          <w:ilvl w:val="0"/>
          <w:numId w:val="10"/>
        </w:numPr>
      </w:pPr>
      <w:r>
        <w:rPr>
          <w:rFonts w:ascii="Calibri" w:hAnsi="Calibri"/>
          <w:b w:val="0"/>
          <w:i w:val="0"/>
          <w:color w:val="20262E"/>
          <w:sz w:val="22"/>
        </w:rPr>
        <w:t>Payment reversal</w:t>
      </w:r>
    </w:p>
    <w:p>
      <w:pPr>
        <w:spacing w:after="80" w:line="300" w:lineRule="auto"/>
        <w:numPr>
          <w:ilvl w:val="0"/>
          <w:numId w:val="10"/>
        </w:numPr>
      </w:pPr>
      <w:r>
        <w:rPr>
          <w:rFonts w:ascii="Calibri" w:hAnsi="Calibri"/>
          <w:b w:val="0"/>
          <w:i w:val="0"/>
          <w:color w:val="20262E"/>
          <w:sz w:val="22"/>
        </w:rPr>
        <w:t>Vendors and vendor categories</w:t>
      </w:r>
    </w:p>
    <w:p>
      <w:pPr>
        <w:spacing w:after="80" w:line="300" w:lineRule="auto"/>
        <w:numPr>
          <w:ilvl w:val="0"/>
          <w:numId w:val="10"/>
        </w:numPr>
      </w:pPr>
      <w:r>
        <w:rPr>
          <w:rFonts w:ascii="Calibri" w:hAnsi="Calibri"/>
          <w:b w:val="0"/>
          <w:i w:val="0"/>
          <w:color w:val="20262E"/>
          <w:sz w:val="22"/>
        </w:rPr>
        <w:t>Design-to-execution commercial terms</w:t>
      </w:r>
    </w:p>
    <w:p>
      <w:pPr>
        <w:spacing w:after="80" w:line="300" w:lineRule="auto"/>
        <w:numPr>
          <w:ilvl w:val="0"/>
          <w:numId w:val="10"/>
        </w:numPr>
      </w:pPr>
      <w:r>
        <w:rPr>
          <w:rFonts w:ascii="Calibri" w:hAnsi="Calibri"/>
          <w:b w:val="0"/>
          <w:i w:val="0"/>
          <w:color w:val="20262E"/>
          <w:sz w:val="22"/>
        </w:rPr>
        <w:t>JSON backup and additive restore</w:t>
      </w:r>
    </w:p>
    <w:p>
      <w:pPr>
        <w:spacing w:after="80" w:line="300" w:lineRule="auto"/>
        <w:numPr>
          <w:ilvl w:val="0"/>
          <w:numId w:val="10"/>
        </w:numPr>
      </w:pPr>
      <w:r>
        <w:rPr>
          <w:rFonts w:ascii="Calibri" w:hAnsi="Calibri"/>
          <w:b w:val="0"/>
          <w:i w:val="0"/>
          <w:color w:val="20262E"/>
          <w:sz w:val="22"/>
        </w:rPr>
        <w:t>CSV export</w:t>
      </w:r>
    </w:p>
    <w:p>
      <w:pPr>
        <w:spacing w:after="80" w:line="300" w:lineRule="auto"/>
        <w:numPr>
          <w:ilvl w:val="0"/>
          <w:numId w:val="10"/>
        </w:numPr>
      </w:pPr>
      <w:r>
        <w:rPr>
          <w:rFonts w:ascii="Calibri" w:hAnsi="Calibri"/>
          <w:b w:val="0"/>
          <w:i w:val="0"/>
          <w:color w:val="20262E"/>
          <w:sz w:val="22"/>
        </w:rPr>
        <w:t>Protected cloud synchronization</w:t>
      </w:r>
    </w:p>
    <w:p>
      <w:pPr>
        <w:spacing w:after="80" w:line="300" w:lineRule="auto"/>
        <w:numPr>
          <w:ilvl w:val="0"/>
          <w:numId w:val="10"/>
        </w:numPr>
      </w:pPr>
      <w:r>
        <w:rPr>
          <w:rFonts w:ascii="Calibri" w:hAnsi="Calibri"/>
          <w:b w:val="0"/>
          <w:i w:val="0"/>
          <w:color w:val="20262E"/>
          <w:sz w:val="22"/>
        </w:rPr>
        <w:t>Local recovery cache</w:t>
      </w:r>
    </w:p>
    <w:p>
      <w:pPr>
        <w:pStyle w:val="Heading2"/>
      </w:pPr>
      <w:r>
        <w:t>3.2 Out of scope in the current version</w:t>
      </w:r>
    </w:p>
    <w:p>
      <w:pPr>
        <w:widowControl/>
      </w:pPr>
      <w:r>
        <w:rPr>
          <w:rFonts w:ascii="Calibri" w:hAnsi="Calibri"/>
          <w:b w:val="0"/>
          <w:i w:val="0"/>
          <w:color w:val="20262E"/>
          <w:sz w:val="22"/>
        </w:rPr>
        <w:t>The following are not yet complete product capabilities:</w:t>
      </w:r>
    </w:p>
    <w:p>
      <w:pPr>
        <w:spacing w:after="80" w:line="300" w:lineRule="auto"/>
        <w:numPr>
          <w:ilvl w:val="0"/>
          <w:numId w:val="10"/>
        </w:numPr>
      </w:pPr>
      <w:r>
        <w:rPr>
          <w:rFonts w:ascii="Calibri" w:hAnsi="Calibri"/>
          <w:b w:val="0"/>
          <w:i w:val="0"/>
          <w:color w:val="20262E"/>
          <w:sz w:val="22"/>
        </w:rPr>
        <w:t>statutory double-entry general ledger;</w:t>
      </w:r>
    </w:p>
    <w:p>
      <w:pPr>
        <w:spacing w:after="80" w:line="300" w:lineRule="auto"/>
        <w:numPr>
          <w:ilvl w:val="0"/>
          <w:numId w:val="10"/>
        </w:numPr>
      </w:pPr>
      <w:r>
        <w:rPr>
          <w:rFonts w:ascii="Calibri" w:hAnsi="Calibri"/>
          <w:b w:val="0"/>
          <w:i w:val="0"/>
          <w:color w:val="20262E"/>
          <w:sz w:val="22"/>
        </w:rPr>
        <w:t>chart of accounts, journals, bank reconciliation, or trial balance;</w:t>
      </w:r>
    </w:p>
    <w:p>
      <w:pPr>
        <w:spacing w:after="80" w:line="300" w:lineRule="auto"/>
        <w:numPr>
          <w:ilvl w:val="0"/>
          <w:numId w:val="10"/>
        </w:numPr>
      </w:pPr>
      <w:r>
        <w:rPr>
          <w:rFonts w:ascii="Calibri" w:hAnsi="Calibri"/>
          <w:b w:val="0"/>
          <w:i w:val="0"/>
          <w:color w:val="20262E"/>
          <w:sz w:val="22"/>
        </w:rPr>
        <w:t>GST return preparation, TDS, e-invoicing, or tax filing;</w:t>
      </w:r>
    </w:p>
    <w:p>
      <w:pPr>
        <w:spacing w:after="80" w:line="300" w:lineRule="auto"/>
        <w:numPr>
          <w:ilvl w:val="0"/>
          <w:numId w:val="10"/>
        </w:numPr>
      </w:pPr>
      <w:r>
        <w:rPr>
          <w:rFonts w:ascii="Calibri" w:hAnsi="Calibri"/>
          <w:b w:val="0"/>
          <w:i w:val="0"/>
          <w:color w:val="20262E"/>
          <w:sz w:val="22"/>
        </w:rPr>
        <w:t>purchase orders, goods-receipt notes, inventory, or stock valuation;</w:t>
      </w:r>
    </w:p>
    <w:p>
      <w:pPr>
        <w:spacing w:after="80" w:line="300" w:lineRule="auto"/>
        <w:numPr>
          <w:ilvl w:val="0"/>
          <w:numId w:val="10"/>
        </w:numPr>
      </w:pPr>
      <w:r>
        <w:rPr>
          <w:rFonts w:ascii="Calibri" w:hAnsi="Calibri"/>
          <w:b w:val="0"/>
          <w:i w:val="0"/>
          <w:color w:val="20262E"/>
          <w:sz w:val="22"/>
        </w:rPr>
        <w:t>receipt and drawing file uploads;</w:t>
      </w:r>
    </w:p>
    <w:p>
      <w:pPr>
        <w:spacing w:after="80" w:line="300" w:lineRule="auto"/>
        <w:numPr>
          <w:ilvl w:val="0"/>
          <w:numId w:val="10"/>
        </w:numPr>
      </w:pPr>
      <w:r>
        <w:rPr>
          <w:rFonts w:ascii="Calibri" w:hAnsi="Calibri"/>
          <w:b w:val="0"/>
          <w:i w:val="0"/>
          <w:color w:val="20262E"/>
          <w:sz w:val="22"/>
        </w:rPr>
        <w:t>automated reminders by email, SMS, or messaging applications;</w:t>
      </w:r>
    </w:p>
    <w:p>
      <w:pPr>
        <w:spacing w:after="80" w:line="300" w:lineRule="auto"/>
        <w:numPr>
          <w:ilvl w:val="0"/>
          <w:numId w:val="10"/>
        </w:numPr>
      </w:pPr>
      <w:r>
        <w:rPr>
          <w:rFonts w:ascii="Calibri" w:hAnsi="Calibri"/>
          <w:b w:val="0"/>
          <w:i w:val="0"/>
          <w:color w:val="20262E"/>
          <w:sz w:val="22"/>
        </w:rPr>
        <w:t>role-based access control and approval authority limits;</w:t>
      </w:r>
    </w:p>
    <w:p>
      <w:pPr>
        <w:spacing w:after="80" w:line="300" w:lineRule="auto"/>
        <w:numPr>
          <w:ilvl w:val="0"/>
          <w:numId w:val="10"/>
        </w:numPr>
      </w:pPr>
      <w:r>
        <w:rPr>
          <w:rFonts w:ascii="Calibri" w:hAnsi="Calibri"/>
          <w:b w:val="0"/>
          <w:i w:val="0"/>
          <w:color w:val="20262E"/>
          <w:sz w:val="22"/>
        </w:rPr>
        <w:t>item-level audit diffs and immutable external audit storage;</w:t>
      </w:r>
    </w:p>
    <w:p>
      <w:pPr>
        <w:spacing w:after="80" w:line="300" w:lineRule="auto"/>
        <w:numPr>
          <w:ilvl w:val="0"/>
          <w:numId w:val="10"/>
        </w:numPr>
      </w:pPr>
      <w:r>
        <w:rPr>
          <w:rFonts w:ascii="Calibri" w:hAnsi="Calibri"/>
          <w:b w:val="0"/>
          <w:i w:val="0"/>
          <w:color w:val="20262E"/>
          <w:sz w:val="22"/>
        </w:rPr>
        <w:t>formal credit notes, debit notes, or invoice-adjustment documents;</w:t>
      </w:r>
    </w:p>
    <w:p>
      <w:pPr>
        <w:spacing w:after="80" w:line="300" w:lineRule="auto"/>
        <w:numPr>
          <w:ilvl w:val="0"/>
          <w:numId w:val="10"/>
        </w:numPr>
      </w:pPr>
      <w:r>
        <w:rPr>
          <w:rFonts w:ascii="Calibri" w:hAnsi="Calibri"/>
          <w:b w:val="0"/>
          <w:i w:val="0"/>
          <w:color w:val="20262E"/>
          <w:sz w:val="22"/>
        </w:rPr>
        <w:t>critical-path scheduling and resource-capacity planning;</w:t>
      </w:r>
    </w:p>
    <w:p>
      <w:pPr>
        <w:spacing w:after="80" w:line="300" w:lineRule="auto"/>
        <w:numPr>
          <w:ilvl w:val="0"/>
          <w:numId w:val="10"/>
        </w:numPr>
      </w:pPr>
      <w:r>
        <w:rPr>
          <w:rFonts w:ascii="Calibri" w:hAnsi="Calibri"/>
          <w:b w:val="0"/>
          <w:i w:val="0"/>
          <w:color w:val="20262E"/>
          <w:sz w:val="22"/>
        </w:rPr>
        <w:t>payroll, timesheets, or contractor attendance;</w:t>
      </w:r>
    </w:p>
    <w:p>
      <w:pPr>
        <w:spacing w:after="80" w:line="300" w:lineRule="auto"/>
        <w:numPr>
          <w:ilvl w:val="0"/>
          <w:numId w:val="10"/>
        </w:numPr>
      </w:pPr>
      <w:r>
        <w:rPr>
          <w:rFonts w:ascii="Calibri" w:hAnsi="Calibri"/>
          <w:b w:val="0"/>
          <w:i w:val="0"/>
          <w:color w:val="20262E"/>
          <w:sz w:val="22"/>
        </w:rPr>
        <w:t>CRM lead pipeline and proposal e-signature;</w:t>
      </w:r>
    </w:p>
    <w:p>
      <w:pPr>
        <w:spacing w:after="80" w:line="300" w:lineRule="auto"/>
        <w:numPr>
          <w:ilvl w:val="0"/>
          <w:numId w:val="10"/>
        </w:numPr>
      </w:pPr>
      <w:r>
        <w:rPr>
          <w:rFonts w:ascii="Calibri" w:hAnsi="Calibri"/>
          <w:b w:val="0"/>
          <w:i w:val="0"/>
          <w:color w:val="20262E"/>
          <w:sz w:val="22"/>
        </w:rPr>
        <w:t>multi-studio or multi-legal-entity accounting;</w:t>
      </w:r>
    </w:p>
    <w:p>
      <w:pPr>
        <w:spacing w:after="80" w:line="300" w:lineRule="auto"/>
        <w:numPr>
          <w:ilvl w:val="0"/>
          <w:numId w:val="10"/>
        </w:numPr>
      </w:pPr>
      <w:r>
        <w:rPr>
          <w:rFonts w:ascii="Calibri" w:hAnsi="Calibri"/>
          <w:b w:val="0"/>
          <w:i w:val="0"/>
          <w:color w:val="20262E"/>
          <w:sz w:val="22"/>
        </w:rPr>
        <w:t>foreign-exchange revaluation; and</w:t>
      </w:r>
    </w:p>
    <w:p>
      <w:pPr>
        <w:spacing w:after="80" w:line="300" w:lineRule="auto"/>
        <w:numPr>
          <w:ilvl w:val="0"/>
          <w:numId w:val="10"/>
        </w:numPr>
      </w:pPr>
      <w:r>
        <w:rPr>
          <w:rFonts w:ascii="Calibri" w:hAnsi="Calibri"/>
          <w:b w:val="0"/>
          <w:i w:val="0"/>
          <w:color w:val="20262E"/>
          <w:sz w:val="22"/>
        </w:rPr>
        <w:t>native mobile applications.</w:t>
      </w:r>
    </w:p>
    <w:p>
      <w:pPr>
        <w:pStyle w:val="Heading1"/>
        <w:pageBreakBefore/>
      </w:pPr>
      <w:r>
        <w:t>4. User roles and responsibilities</w:t>
      </w:r>
    </w:p>
    <w:p>
      <w:pPr>
        <w:widowControl/>
      </w:pPr>
      <w:r>
        <w:rPr>
          <w:rFonts w:ascii="Calibri" w:hAnsi="Calibri"/>
          <w:b w:val="0"/>
          <w:i w:val="0"/>
          <w:color w:val="20262E"/>
          <w:sz w:val="22"/>
        </w:rPr>
        <w:t>Studio Ledger does not yet enforce roles in software. Everyone granted access to the hosted site can use the application. The following roles are operational responsibilities, not permission boundaries.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Role</w:t>
            </w:r>
          </w:p>
        </w:tc>
        <w:tc>
          <w:tcPr>
            <w:tcW w:type="dxa" w:w="666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Primary responsibilities in Studio Ledger</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Studio owner / director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Approve estimates, review profitability, monitor collections, decide commercial terms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Operations manager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Maintain projects, supervisors, procurement flow, milestones, and exceptions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 supervisor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Submit material requests and small expenses; report progress and blockers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Procurement coordinator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Convert approved requests into vendor bills and allocate bill lines to projects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Finance / accounts</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Issue invoices, record receipts, allocate vendor payments, monitor AR/AP, export records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 manager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Maintain schedule, baseline, forecast, actual cost, and project completion status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System administrator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Control site access, deployment, backup practices, and recovery</w:t>
            </w:r>
          </w:p>
        </w:tc>
      </w:tr>
    </w:tbl>
    <w:p>
      <w:pPr>
        <w:spacing w:before="0" w:after="40"/>
      </w:pPr>
    </w:p>
    <w:p>
      <w:pPr>
        <w:widowControl/>
      </w:pPr>
      <w:r>
        <w:rPr>
          <w:rFonts w:ascii="Calibri" w:hAnsi="Calibri"/>
          <w:b w:val="0"/>
          <w:i w:val="0"/>
          <w:color w:val="20262E"/>
          <w:sz w:val="22"/>
        </w:rPr>
        <w:t>Recommended practice is to nominate one owner for each workflow and restrict hosted-site membership until role-based controls are implemented.</w:t>
      </w:r>
    </w:p>
    <w:p>
      <w:pPr>
        <w:pStyle w:val="Heading1"/>
      </w:pPr>
      <w:r>
        <w:t>5. Navigation and module reference</w:t>
      </w:r>
    </w:p>
    <w:p>
      <w:pPr>
        <w:pStyle w:val="Heading2"/>
      </w:pPr>
      <w:r>
        <w:t>5.1 Dashboard</w:t>
      </w:r>
    </w:p>
    <w:p>
      <w:pPr>
        <w:widowControl/>
      </w:pPr>
      <w:r>
        <w:rPr>
          <w:rFonts w:ascii="Calibri" w:hAnsi="Calibri"/>
          <w:b w:val="0"/>
          <w:i w:val="0"/>
          <w:color w:val="20262E"/>
          <w:sz w:val="22"/>
        </w:rPr>
        <w:t>The Dashboard provides the management view of the studio:</w:t>
      </w:r>
    </w:p>
    <w:p>
      <w:pPr>
        <w:spacing w:after="80" w:line="300" w:lineRule="auto"/>
        <w:numPr>
          <w:ilvl w:val="0"/>
          <w:numId w:val="10"/>
        </w:numPr>
      </w:pPr>
      <w:r>
        <w:rPr>
          <w:rFonts w:ascii="Calibri" w:hAnsi="Calibri"/>
          <w:b w:val="0"/>
          <w:i w:val="0"/>
          <w:color w:val="20262E"/>
          <w:sz w:val="22"/>
        </w:rPr>
        <w:t>total invoiced value;</w:t>
      </w:r>
    </w:p>
    <w:p>
      <w:pPr>
        <w:spacing w:after="80" w:line="300" w:lineRule="auto"/>
        <w:numPr>
          <w:ilvl w:val="0"/>
          <w:numId w:val="10"/>
        </w:numPr>
      </w:pPr>
      <w:r>
        <w:rPr>
          <w:rFonts w:ascii="Calibri" w:hAnsi="Calibri"/>
          <w:b w:val="0"/>
          <w:i w:val="0"/>
          <w:color w:val="20262E"/>
          <w:sz w:val="22"/>
        </w:rPr>
        <w:t>cash received;</w:t>
      </w:r>
    </w:p>
    <w:p>
      <w:pPr>
        <w:spacing w:after="80" w:line="300" w:lineRule="auto"/>
        <w:numPr>
          <w:ilvl w:val="0"/>
          <w:numId w:val="10"/>
        </w:numPr>
      </w:pPr>
      <w:r>
        <w:rPr>
          <w:rFonts w:ascii="Calibri" w:hAnsi="Calibri"/>
          <w:b w:val="0"/>
          <w:i w:val="0"/>
          <w:color w:val="20262E"/>
          <w:sz w:val="22"/>
        </w:rPr>
        <w:t>accounts receivable;</w:t>
      </w:r>
    </w:p>
    <w:p>
      <w:pPr>
        <w:spacing w:after="80" w:line="300" w:lineRule="auto"/>
        <w:numPr>
          <w:ilvl w:val="0"/>
          <w:numId w:val="10"/>
        </w:numPr>
      </w:pPr>
      <w:r>
        <w:rPr>
          <w:rFonts w:ascii="Calibri" w:hAnsi="Calibri"/>
          <w:b w:val="0"/>
          <w:i w:val="0"/>
          <w:color w:val="20262E"/>
          <w:sz w:val="22"/>
        </w:rPr>
        <w:t>recorded project costs;</w:t>
      </w:r>
    </w:p>
    <w:p>
      <w:pPr>
        <w:spacing w:after="80" w:line="300" w:lineRule="auto"/>
        <w:numPr>
          <w:ilvl w:val="0"/>
          <w:numId w:val="10"/>
        </w:numPr>
      </w:pPr>
      <w:r>
        <w:rPr>
          <w:rFonts w:ascii="Calibri" w:hAnsi="Calibri"/>
          <w:b w:val="0"/>
          <w:i w:val="0"/>
          <w:color w:val="20262E"/>
          <w:sz w:val="22"/>
        </w:rPr>
        <w:t>cash paid out;</w:t>
      </w:r>
    </w:p>
    <w:p>
      <w:pPr>
        <w:spacing w:after="80" w:line="300" w:lineRule="auto"/>
        <w:numPr>
          <w:ilvl w:val="0"/>
          <w:numId w:val="10"/>
        </w:numPr>
      </w:pPr>
      <w:r>
        <w:rPr>
          <w:rFonts w:ascii="Calibri" w:hAnsi="Calibri"/>
          <w:b w:val="0"/>
          <w:i w:val="0"/>
          <w:color w:val="20262E"/>
          <w:sz w:val="22"/>
        </w:rPr>
        <w:t>accounts payable;</w:t>
      </w:r>
    </w:p>
    <w:p>
      <w:pPr>
        <w:spacing w:after="80" w:line="300" w:lineRule="auto"/>
        <w:numPr>
          <w:ilvl w:val="0"/>
          <w:numId w:val="10"/>
        </w:numPr>
      </w:pPr>
      <w:r>
        <w:rPr>
          <w:rFonts w:ascii="Calibri" w:hAnsi="Calibri"/>
          <w:b w:val="0"/>
          <w:i w:val="0"/>
          <w:color w:val="20262E"/>
          <w:sz w:val="22"/>
        </w:rPr>
        <w:t>active and at-risk projects;</w:t>
      </w:r>
    </w:p>
    <w:p>
      <w:pPr>
        <w:spacing w:after="80" w:line="300" w:lineRule="auto"/>
        <w:numPr>
          <w:ilvl w:val="0"/>
          <w:numId w:val="10"/>
        </w:numPr>
      </w:pPr>
      <w:r>
        <w:rPr>
          <w:rFonts w:ascii="Calibri" w:hAnsi="Calibri"/>
          <w:b w:val="0"/>
          <w:i w:val="0"/>
          <w:color w:val="20262E"/>
          <w:sz w:val="22"/>
        </w:rPr>
        <w:t>monthly cash movement; and</w:t>
      </w:r>
    </w:p>
    <w:p>
      <w:pPr>
        <w:spacing w:after="80" w:line="300" w:lineRule="auto"/>
        <w:numPr>
          <w:ilvl w:val="0"/>
          <w:numId w:val="10"/>
        </w:numPr>
      </w:pPr>
      <w:r>
        <w:rPr>
          <w:rFonts w:ascii="Calibri" w:hAnsi="Calibri"/>
          <w:b w:val="0"/>
          <w:i w:val="0"/>
          <w:color w:val="20262E"/>
          <w:sz w:val="22"/>
        </w:rPr>
        <w:t>project summaries.</w:t>
      </w:r>
    </w:p>
    <w:p>
      <w:pPr>
        <w:widowControl/>
      </w:pPr>
      <w:r>
        <w:rPr>
          <w:rFonts w:ascii="Calibri" w:hAnsi="Calibri"/>
          <w:b w:val="0"/>
          <w:i w:val="0"/>
          <w:color w:val="20262E"/>
          <w:sz w:val="22"/>
        </w:rPr>
        <w:t>Dashboard cash values and accounting balances are intentionally separate. An unallocated receipt increases cash received but does not reduce a client's invoice balance. An unallocated vendor payment increases cash paid out but does not reduce a bill's payable balance.</w:t>
      </w:r>
    </w:p>
    <w:p>
      <w:pPr>
        <w:pStyle w:val="Heading2"/>
      </w:pPr>
      <w:r>
        <w:t>5.2 Projects</w:t>
      </w:r>
    </w:p>
    <w:p>
      <w:pPr>
        <w:widowControl/>
      </w:pPr>
      <w:r>
        <w:rPr>
          <w:rFonts w:ascii="Calibri" w:hAnsi="Calibri"/>
          <w:b w:val="0"/>
          <w:i w:val="0"/>
          <w:color w:val="20262E"/>
          <w:sz w:val="22"/>
        </w:rPr>
        <w:t>A project records:</w:t>
      </w:r>
    </w:p>
    <w:p>
      <w:pPr>
        <w:spacing w:after="80" w:line="300" w:lineRule="auto"/>
        <w:numPr>
          <w:ilvl w:val="0"/>
          <w:numId w:val="10"/>
        </w:numPr>
      </w:pPr>
      <w:r>
        <w:rPr>
          <w:rFonts w:ascii="Calibri" w:hAnsi="Calibri"/>
          <w:b w:val="0"/>
          <w:i w:val="0"/>
          <w:color w:val="20262E"/>
          <w:sz w:val="22"/>
        </w:rPr>
        <w:t>project name;</w:t>
      </w:r>
    </w:p>
    <w:p>
      <w:pPr>
        <w:spacing w:after="80" w:line="300" w:lineRule="auto"/>
        <w:numPr>
          <w:ilvl w:val="0"/>
          <w:numId w:val="10"/>
        </w:numPr>
      </w:pPr>
      <w:r>
        <w:rPr>
          <w:rFonts w:ascii="Calibri" w:hAnsi="Calibri"/>
          <w:b w:val="0"/>
          <w:i w:val="0"/>
          <w:color w:val="20262E"/>
          <w:sz w:val="22"/>
        </w:rPr>
        <w:t>client name and contact details;</w:t>
      </w:r>
    </w:p>
    <w:p>
      <w:pPr>
        <w:spacing w:after="80" w:line="300" w:lineRule="auto"/>
        <w:numPr>
          <w:ilvl w:val="0"/>
          <w:numId w:val="10"/>
        </w:numPr>
      </w:pPr>
      <w:r>
        <w:rPr>
          <w:rFonts w:ascii="Calibri" w:hAnsi="Calibri"/>
          <w:b w:val="0"/>
          <w:i w:val="0"/>
          <w:color w:val="20262E"/>
          <w:sz w:val="22"/>
        </w:rPr>
        <w:t>site address;</w:t>
      </w:r>
    </w:p>
    <w:p>
      <w:pPr>
        <w:spacing w:after="80" w:line="300" w:lineRule="auto"/>
        <w:numPr>
          <w:ilvl w:val="0"/>
          <w:numId w:val="10"/>
        </w:numPr>
      </w:pPr>
      <w:r>
        <w:rPr>
          <w:rFonts w:ascii="Calibri" w:hAnsi="Calibri"/>
          <w:b w:val="0"/>
          <w:i w:val="0"/>
          <w:color w:val="20262E"/>
          <w:sz w:val="22"/>
        </w:rPr>
        <w:t>status;</w:t>
      </w:r>
    </w:p>
    <w:p>
      <w:pPr>
        <w:spacing w:after="80" w:line="300" w:lineRule="auto"/>
        <w:numPr>
          <w:ilvl w:val="0"/>
          <w:numId w:val="10"/>
        </w:numPr>
      </w:pPr>
      <w:r>
        <w:rPr>
          <w:rFonts w:ascii="Calibri" w:hAnsi="Calibri"/>
          <w:b w:val="0"/>
          <w:i w:val="0"/>
          <w:color w:val="20262E"/>
          <w:sz w:val="22"/>
        </w:rPr>
        <w:t>working budget;</w:t>
      </w:r>
    </w:p>
    <w:p>
      <w:pPr>
        <w:spacing w:after="80" w:line="300" w:lineRule="auto"/>
        <w:numPr>
          <w:ilvl w:val="0"/>
          <w:numId w:val="10"/>
        </w:numPr>
      </w:pPr>
      <w:r>
        <w:rPr>
          <w:rFonts w:ascii="Calibri" w:hAnsi="Calibri"/>
          <w:b w:val="0"/>
          <w:i w:val="0"/>
          <w:color w:val="20262E"/>
          <w:sz w:val="22"/>
        </w:rPr>
        <w:t>start date;</w:t>
      </w:r>
    </w:p>
    <w:p>
      <w:pPr>
        <w:spacing w:after="80" w:line="300" w:lineRule="auto"/>
        <w:numPr>
          <w:ilvl w:val="0"/>
          <w:numId w:val="10"/>
        </w:numPr>
      </w:pPr>
      <w:r>
        <w:rPr>
          <w:rFonts w:ascii="Calibri" w:hAnsi="Calibri"/>
          <w:b w:val="0"/>
          <w:i w:val="0"/>
          <w:color w:val="20262E"/>
          <w:sz w:val="22"/>
        </w:rPr>
        <w:t>notes; and</w:t>
      </w:r>
    </w:p>
    <w:p>
      <w:pPr>
        <w:spacing w:after="80" w:line="300" w:lineRule="auto"/>
        <w:numPr>
          <w:ilvl w:val="0"/>
          <w:numId w:val="10"/>
        </w:numPr>
      </w:pPr>
      <w:r>
        <w:rPr>
          <w:rFonts w:ascii="Calibri" w:hAnsi="Calibri"/>
          <w:b w:val="0"/>
          <w:i w:val="0"/>
          <w:color w:val="20262E"/>
          <w:sz w:val="22"/>
        </w:rPr>
        <w:t>design-to-execution commercial terms.</w:t>
      </w:r>
    </w:p>
    <w:p>
      <w:pPr>
        <w:widowControl/>
      </w:pPr>
      <w:r>
        <w:rPr>
          <w:rFonts w:ascii="Calibri" w:hAnsi="Calibri"/>
          <w:b w:val="0"/>
          <w:i w:val="0"/>
          <w:color w:val="20262E"/>
          <w:sz w:val="22"/>
        </w:rPr>
        <w:t>The project detail view consolidates invoices, receipts, expenses, payments, petty expenses, material requests, schedule milestones, receivable, payable, and cost-control information.</w:t>
      </w:r>
    </w:p>
    <w:p>
      <w:pPr>
        <w:widowControl/>
      </w:pPr>
      <w:r>
        <w:rPr>
          <w:rFonts w:ascii="Calibri" w:hAnsi="Calibri"/>
          <w:b w:val="0"/>
          <w:i w:val="0"/>
          <w:color w:val="20262E"/>
          <w:sz w:val="22"/>
        </w:rPr>
        <w:t>A project with financial or operational history cannot be deleted. This includes invoices, expenses, payments, requests, petty expenses, estimates, milestones, collection activities, and vendor bill allocations.</w:t>
      </w:r>
    </w:p>
    <w:p>
      <w:pPr>
        <w:pStyle w:val="Heading2"/>
      </w:pPr>
      <w:r>
        <w:t>5.3 Estimation and cost control</w:t>
      </w:r>
    </w:p>
    <w:p>
      <w:pPr>
        <w:pStyle w:val="Heading3"/>
      </w:pPr>
      <w:r>
        <w:t>Rough estimate</w:t>
      </w:r>
    </w:p>
    <w:p>
      <w:pPr>
        <w:widowControl/>
      </w:pPr>
      <w:r>
        <w:rPr>
          <w:rFonts w:ascii="Calibri" w:hAnsi="Calibri"/>
          <w:b w:val="0"/>
          <w:i w:val="0"/>
          <w:color w:val="20262E"/>
          <w:sz w:val="22"/>
        </w:rPr>
        <w:t>Use a rough estimate before a measured floor plan is available. It records:</w:t>
      </w:r>
    </w:p>
    <w:p>
      <w:pPr>
        <w:spacing w:after="80" w:line="300" w:lineRule="auto"/>
        <w:numPr>
          <w:ilvl w:val="0"/>
          <w:numId w:val="10"/>
        </w:numPr>
      </w:pPr>
      <w:r>
        <w:rPr>
          <w:rFonts w:ascii="Calibri" w:hAnsi="Calibri"/>
          <w:b w:val="0"/>
          <w:i w:val="0"/>
          <w:color w:val="20262E"/>
          <w:sz w:val="22"/>
        </w:rPr>
        <w:t>area;</w:t>
      </w:r>
    </w:p>
    <w:p>
      <w:pPr>
        <w:spacing w:after="80" w:line="300" w:lineRule="auto"/>
        <w:numPr>
          <w:ilvl w:val="0"/>
          <w:numId w:val="10"/>
        </w:numPr>
      </w:pPr>
      <w:r>
        <w:rPr>
          <w:rFonts w:ascii="Calibri" w:hAnsi="Calibri"/>
          <w:b w:val="0"/>
          <w:i w:val="0"/>
          <w:color w:val="20262E"/>
          <w:sz w:val="22"/>
        </w:rPr>
        <w:t>base execution rate;</w:t>
      </w:r>
    </w:p>
    <w:p>
      <w:pPr>
        <w:spacing w:after="80" w:line="300" w:lineRule="auto"/>
        <w:numPr>
          <w:ilvl w:val="0"/>
          <w:numId w:val="10"/>
        </w:numPr>
      </w:pPr>
      <w:r>
        <w:rPr>
          <w:rFonts w:ascii="Calibri" w:hAnsi="Calibri"/>
          <w:b w:val="0"/>
          <w:i w:val="0"/>
          <w:color w:val="20262E"/>
          <w:sz w:val="22"/>
        </w:rPr>
        <w:t>finish level;</w:t>
      </w:r>
    </w:p>
    <w:p>
      <w:pPr>
        <w:spacing w:after="80" w:line="300" w:lineRule="auto"/>
        <w:numPr>
          <w:ilvl w:val="0"/>
          <w:numId w:val="10"/>
        </w:numPr>
      </w:pPr>
      <w:r>
        <w:rPr>
          <w:rFonts w:ascii="Calibri" w:hAnsi="Calibri"/>
          <w:b w:val="0"/>
          <w:i w:val="0"/>
          <w:color w:val="20262E"/>
          <w:sz w:val="22"/>
        </w:rPr>
        <w:t>contingency percentage;</w:t>
      </w:r>
    </w:p>
    <w:p>
      <w:pPr>
        <w:spacing w:after="80" w:line="300" w:lineRule="auto"/>
        <w:numPr>
          <w:ilvl w:val="0"/>
          <w:numId w:val="10"/>
        </w:numPr>
      </w:pPr>
      <w:r>
        <w:rPr>
          <w:rFonts w:ascii="Calibri" w:hAnsi="Calibri"/>
          <w:b w:val="0"/>
          <w:i w:val="0"/>
          <w:color w:val="20262E"/>
          <w:sz w:val="22"/>
        </w:rPr>
        <w:t>design fee;</w:t>
      </w:r>
    </w:p>
    <w:p>
      <w:pPr>
        <w:spacing w:after="80" w:line="300" w:lineRule="auto"/>
        <w:numPr>
          <w:ilvl w:val="0"/>
          <w:numId w:val="10"/>
        </w:numPr>
      </w:pPr>
      <w:r>
        <w:rPr>
          <w:rFonts w:ascii="Calibri" w:hAnsi="Calibri"/>
          <w:b w:val="0"/>
          <w:i w:val="0"/>
          <w:color w:val="20262E"/>
          <w:sz w:val="22"/>
        </w:rPr>
        <w:t>assumptions;</w:t>
      </w:r>
    </w:p>
    <w:p>
      <w:pPr>
        <w:spacing w:after="80" w:line="300" w:lineRule="auto"/>
        <w:numPr>
          <w:ilvl w:val="0"/>
          <w:numId w:val="10"/>
        </w:numPr>
      </w:pPr>
      <w:r>
        <w:rPr>
          <w:rFonts w:ascii="Calibri" w:hAnsi="Calibri"/>
          <w:b w:val="0"/>
          <w:i w:val="0"/>
          <w:color w:val="20262E"/>
          <w:sz w:val="22"/>
        </w:rPr>
        <w:t>exclusions; and</w:t>
      </w:r>
    </w:p>
    <w:p>
      <w:pPr>
        <w:spacing w:after="80" w:line="300" w:lineRule="auto"/>
        <w:numPr>
          <w:ilvl w:val="0"/>
          <w:numId w:val="10"/>
        </w:numPr>
      </w:pPr>
      <w:r>
        <w:rPr>
          <w:rFonts w:ascii="Calibri" w:hAnsi="Calibri"/>
          <w:b w:val="0"/>
          <w:i w:val="0"/>
          <w:color w:val="20262E"/>
          <w:sz w:val="22"/>
        </w:rPr>
        <w:t>notes.</w:t>
      </w:r>
    </w:p>
    <w:p>
      <w:pPr>
        <w:widowControl/>
      </w:pPr>
      <w:r>
        <w:rPr>
          <w:rFonts w:ascii="Calibri" w:hAnsi="Calibri"/>
          <w:b w:val="0"/>
          <w:i w:val="0"/>
          <w:color w:val="20262E"/>
          <w:sz w:val="22"/>
        </w:rPr>
        <w:t>The application displays a working range of approximately minus 15 percent to plus 15 percent around the calculated rough estimate. This range is a commercial guide and is not a contractual tolerance.</w:t>
      </w:r>
    </w:p>
    <w:p>
      <w:pPr>
        <w:pStyle w:val="Heading3"/>
      </w:pPr>
      <w:r>
        <w:t>Detailed BOQ</w:t>
      </w:r>
    </w:p>
    <w:p>
      <w:pPr>
        <w:widowControl/>
      </w:pPr>
      <w:r>
        <w:rPr>
          <w:rFonts w:ascii="Calibri" w:hAnsi="Calibri"/>
          <w:b w:val="0"/>
          <w:i w:val="0"/>
          <w:color w:val="20262E"/>
          <w:sz w:val="22"/>
        </w:rPr>
        <w:t>Use a detailed estimate after the floor plan and measurable scope are available. Each BOQ line records:</w:t>
      </w:r>
    </w:p>
    <w:p>
      <w:pPr>
        <w:spacing w:after="80" w:line="300" w:lineRule="auto"/>
        <w:numPr>
          <w:ilvl w:val="0"/>
          <w:numId w:val="10"/>
        </w:numPr>
      </w:pPr>
      <w:r>
        <w:rPr>
          <w:rFonts w:ascii="Calibri" w:hAnsi="Calibri"/>
          <w:b w:val="0"/>
          <w:i w:val="0"/>
          <w:color w:val="20262E"/>
          <w:sz w:val="22"/>
        </w:rPr>
        <w:t>room or area;</w:t>
      </w:r>
    </w:p>
    <w:p>
      <w:pPr>
        <w:spacing w:after="80" w:line="300" w:lineRule="auto"/>
        <w:numPr>
          <w:ilvl w:val="0"/>
          <w:numId w:val="10"/>
        </w:numPr>
      </w:pPr>
      <w:r>
        <w:rPr>
          <w:rFonts w:ascii="Calibri" w:hAnsi="Calibri"/>
          <w:b w:val="0"/>
          <w:i w:val="0"/>
          <w:color w:val="20262E"/>
          <w:sz w:val="22"/>
        </w:rPr>
        <w:t>description;</w:t>
      </w:r>
    </w:p>
    <w:p>
      <w:pPr>
        <w:spacing w:after="80" w:line="300" w:lineRule="auto"/>
        <w:numPr>
          <w:ilvl w:val="0"/>
          <w:numId w:val="10"/>
        </w:numPr>
      </w:pPr>
      <w:r>
        <w:rPr>
          <w:rFonts w:ascii="Calibri" w:hAnsi="Calibri"/>
          <w:b w:val="0"/>
          <w:i w:val="0"/>
          <w:color w:val="20262E"/>
          <w:sz w:val="22"/>
        </w:rPr>
        <w:t>category;</w:t>
      </w:r>
    </w:p>
    <w:p>
      <w:pPr>
        <w:spacing w:after="80" w:line="300" w:lineRule="auto"/>
        <w:numPr>
          <w:ilvl w:val="0"/>
          <w:numId w:val="10"/>
        </w:numPr>
      </w:pPr>
      <w:r>
        <w:rPr>
          <w:rFonts w:ascii="Calibri" w:hAnsi="Calibri"/>
          <w:b w:val="0"/>
          <w:i w:val="0"/>
          <w:color w:val="20262E"/>
          <w:sz w:val="22"/>
        </w:rPr>
        <w:t>quantity;</w:t>
      </w:r>
    </w:p>
    <w:p>
      <w:pPr>
        <w:spacing w:after="80" w:line="300" w:lineRule="auto"/>
        <w:numPr>
          <w:ilvl w:val="0"/>
          <w:numId w:val="10"/>
        </w:numPr>
      </w:pPr>
      <w:r>
        <w:rPr>
          <w:rFonts w:ascii="Calibri" w:hAnsi="Calibri"/>
          <w:b w:val="0"/>
          <w:i w:val="0"/>
          <w:color w:val="20262E"/>
          <w:sz w:val="22"/>
        </w:rPr>
        <w:t>unit;</w:t>
      </w:r>
    </w:p>
    <w:p>
      <w:pPr>
        <w:spacing w:after="80" w:line="300" w:lineRule="auto"/>
        <w:numPr>
          <w:ilvl w:val="0"/>
          <w:numId w:val="10"/>
        </w:numPr>
      </w:pPr>
      <w:r>
        <w:rPr>
          <w:rFonts w:ascii="Calibri" w:hAnsi="Calibri"/>
          <w:b w:val="0"/>
          <w:i w:val="0"/>
          <w:color w:val="20262E"/>
          <w:sz w:val="22"/>
        </w:rPr>
        <w:t>material rate;</w:t>
      </w:r>
    </w:p>
    <w:p>
      <w:pPr>
        <w:spacing w:after="80" w:line="300" w:lineRule="auto"/>
        <w:numPr>
          <w:ilvl w:val="0"/>
          <w:numId w:val="10"/>
        </w:numPr>
      </w:pPr>
      <w:r>
        <w:rPr>
          <w:rFonts w:ascii="Calibri" w:hAnsi="Calibri"/>
          <w:b w:val="0"/>
          <w:i w:val="0"/>
          <w:color w:val="20262E"/>
          <w:sz w:val="22"/>
        </w:rPr>
        <w:t>labour rate; and</w:t>
      </w:r>
    </w:p>
    <w:p>
      <w:pPr>
        <w:spacing w:after="80" w:line="300" w:lineRule="auto"/>
        <w:numPr>
          <w:ilvl w:val="0"/>
          <w:numId w:val="10"/>
        </w:numPr>
      </w:pPr>
      <w:r>
        <w:rPr>
          <w:rFonts w:ascii="Calibri" w:hAnsi="Calibri"/>
          <w:b w:val="0"/>
          <w:i w:val="0"/>
          <w:color w:val="20262E"/>
          <w:sz w:val="22"/>
        </w:rPr>
        <w:t>markup percentage.</w:t>
      </w:r>
    </w:p>
    <w:p>
      <w:pPr>
        <w:widowControl/>
      </w:pPr>
      <w:r>
        <w:rPr>
          <w:rFonts w:ascii="Calibri" w:hAnsi="Calibri"/>
          <w:b w:val="0"/>
          <w:i w:val="0"/>
          <w:color w:val="20262E"/>
          <w:sz w:val="22"/>
        </w:rPr>
        <w:t>Contingency and design fee are added at estimate level.</w:t>
      </w:r>
    </w:p>
    <w:p>
      <w:pPr>
        <w:pStyle w:val="Heading3"/>
      </w:pPr>
      <w:r>
        <w:t>Version control</w:t>
      </w:r>
    </w:p>
    <w:p>
      <w:pPr>
        <w:widowControl/>
      </w:pPr>
      <w:r>
        <w:rPr>
          <w:rFonts w:ascii="Calibri" w:hAnsi="Calibri"/>
          <w:b w:val="0"/>
          <w:i w:val="0"/>
          <w:color w:val="20262E"/>
          <w:sz w:val="22"/>
        </w:rPr>
        <w:t>Estimates have a type, version, date, and status:</w:t>
      </w:r>
    </w:p>
    <w:p>
      <w:pPr>
        <w:spacing w:after="80" w:line="300" w:lineRule="auto"/>
        <w:numPr>
          <w:ilvl w:val="0"/>
          <w:numId w:val="10"/>
        </w:numPr>
      </w:pPr>
      <w:r>
        <w:rPr>
          <w:rFonts w:ascii="Calibri" w:hAnsi="Calibri"/>
          <w:b/>
          <w:i w:val="0"/>
          <w:color w:val="20262E"/>
          <w:sz w:val="22"/>
        </w:rPr>
        <w:t>Draft:</w:t>
      </w:r>
      <w:r>
        <w:rPr>
          <w:rFonts w:ascii="Calibri" w:hAnsi="Calibri"/>
          <w:b w:val="0"/>
          <w:i w:val="0"/>
          <w:color w:val="20262E"/>
          <w:sz w:val="22"/>
        </w:rPr>
        <w:t xml:space="preserve"> editable and available for approval.</w:t>
      </w:r>
    </w:p>
    <w:p>
      <w:pPr>
        <w:spacing w:after="80" w:line="300" w:lineRule="auto"/>
        <w:numPr>
          <w:ilvl w:val="0"/>
          <w:numId w:val="10"/>
        </w:numPr>
      </w:pPr>
      <w:r>
        <w:rPr>
          <w:rFonts w:ascii="Calibri" w:hAnsi="Calibri"/>
          <w:b/>
          <w:i w:val="0"/>
          <w:color w:val="20262E"/>
          <w:sz w:val="22"/>
        </w:rPr>
        <w:t>Approved:</w:t>
      </w:r>
      <w:r>
        <w:rPr>
          <w:rFonts w:ascii="Calibri" w:hAnsi="Calibri"/>
          <w:b w:val="0"/>
          <w:i w:val="0"/>
          <w:color w:val="20262E"/>
          <w:sz w:val="22"/>
        </w:rPr>
        <w:t xml:space="preserve"> locked as the current project baseline.</w:t>
      </w:r>
    </w:p>
    <w:p>
      <w:pPr>
        <w:spacing w:after="80" w:line="300" w:lineRule="auto"/>
        <w:numPr>
          <w:ilvl w:val="0"/>
          <w:numId w:val="10"/>
        </w:numPr>
      </w:pPr>
      <w:r>
        <w:rPr>
          <w:rFonts w:ascii="Calibri" w:hAnsi="Calibri"/>
          <w:b/>
          <w:i w:val="0"/>
          <w:color w:val="20262E"/>
          <w:sz w:val="22"/>
        </w:rPr>
        <w:t>Superseded:</w:t>
      </w:r>
      <w:r>
        <w:rPr>
          <w:rFonts w:ascii="Calibri" w:hAnsi="Calibri"/>
          <w:b w:val="0"/>
          <w:i w:val="0"/>
          <w:color w:val="20262E"/>
          <w:sz w:val="22"/>
        </w:rPr>
        <w:t xml:space="preserve"> preserved historical baseline replaced by a later approved version.</w:t>
      </w:r>
    </w:p>
    <w:p>
      <w:pPr>
        <w:widowControl/>
      </w:pPr>
      <w:r>
        <w:rPr>
          <w:rFonts w:ascii="Calibri" w:hAnsi="Calibri"/>
          <w:b w:val="0"/>
          <w:i w:val="0"/>
          <w:color w:val="20262E"/>
          <w:sz w:val="22"/>
        </w:rPr>
        <w:t>Users create a new revision instead of editing an approved baseline.</w:t>
      </w:r>
    </w:p>
    <w:p>
      <w:pPr>
        <w:pStyle w:val="Heading3"/>
      </w:pPr>
      <w:r>
        <w:t>Cost control</w:t>
      </w:r>
    </w:p>
    <w:p>
      <w:pPr>
        <w:widowControl/>
      </w:pPr>
      <w:r>
        <w:rPr>
          <w:rFonts w:ascii="Calibri" w:hAnsi="Calibri"/>
          <w:b w:val="0"/>
          <w:i w:val="0"/>
          <w:color w:val="20262E"/>
          <w:sz w:val="22"/>
        </w:rPr>
        <w:t>For each project, Studio Ledger compares:</w:t>
      </w:r>
    </w:p>
    <w:p>
      <w:pPr>
        <w:spacing w:after="80" w:line="300" w:lineRule="auto"/>
        <w:numPr>
          <w:ilvl w:val="0"/>
          <w:numId w:val="10"/>
        </w:numPr>
      </w:pPr>
      <w:r>
        <w:rPr>
          <w:rFonts w:ascii="Calibri" w:hAnsi="Calibri"/>
          <w:b w:val="0"/>
          <w:i w:val="0"/>
          <w:color w:val="20262E"/>
          <w:sz w:val="22"/>
        </w:rPr>
        <w:t>the approved estimate, or project budget if no approved estimate exists;</w:t>
      </w:r>
    </w:p>
    <w:p>
      <w:pPr>
        <w:spacing w:after="80" w:line="300" w:lineRule="auto"/>
        <w:numPr>
          <w:ilvl w:val="0"/>
          <w:numId w:val="10"/>
        </w:numPr>
      </w:pPr>
      <w:r>
        <w:rPr>
          <w:rFonts w:ascii="Calibri" w:hAnsi="Calibri"/>
          <w:b w:val="0"/>
          <w:i w:val="0"/>
          <w:color w:val="20262E"/>
          <w:sz w:val="22"/>
        </w:rPr>
        <w:t>actual recorded vendor expenses;</w:t>
      </w:r>
    </w:p>
    <w:p>
      <w:pPr>
        <w:spacing w:after="80" w:line="300" w:lineRule="auto"/>
        <w:numPr>
          <w:ilvl w:val="0"/>
          <w:numId w:val="10"/>
        </w:numPr>
      </w:pPr>
      <w:r>
        <w:rPr>
          <w:rFonts w:ascii="Calibri" w:hAnsi="Calibri"/>
          <w:b w:val="0"/>
          <w:i w:val="0"/>
          <w:color w:val="20262E"/>
          <w:sz w:val="22"/>
        </w:rPr>
        <w:t>approved or reimbursed petty expenses;</w:t>
      </w:r>
    </w:p>
    <w:p>
      <w:pPr>
        <w:spacing w:after="80" w:line="300" w:lineRule="auto"/>
        <w:numPr>
          <w:ilvl w:val="0"/>
          <w:numId w:val="10"/>
        </w:numPr>
      </w:pPr>
      <w:r>
        <w:rPr>
          <w:rFonts w:ascii="Calibri" w:hAnsi="Calibri"/>
          <w:b w:val="0"/>
          <w:i w:val="0"/>
          <w:color w:val="20262E"/>
          <w:sz w:val="22"/>
        </w:rPr>
        <w:t>open material-request commitments;</w:t>
      </w:r>
    </w:p>
    <w:p>
      <w:pPr>
        <w:spacing w:after="80" w:line="300" w:lineRule="auto"/>
        <w:numPr>
          <w:ilvl w:val="0"/>
          <w:numId w:val="10"/>
        </w:numPr>
      </w:pPr>
      <w:r>
        <w:rPr>
          <w:rFonts w:ascii="Calibri" w:hAnsi="Calibri"/>
          <w:b w:val="0"/>
          <w:i w:val="0"/>
          <w:color w:val="20262E"/>
          <w:sz w:val="22"/>
        </w:rPr>
        <w:t>forecast cost; and</w:t>
      </w:r>
    </w:p>
    <w:p>
      <w:pPr>
        <w:spacing w:after="80" w:line="300" w:lineRule="auto"/>
        <w:numPr>
          <w:ilvl w:val="0"/>
          <w:numId w:val="10"/>
        </w:numPr>
      </w:pPr>
      <w:r>
        <w:rPr>
          <w:rFonts w:ascii="Calibri" w:hAnsi="Calibri"/>
          <w:b w:val="0"/>
          <w:i w:val="0"/>
          <w:color w:val="20262E"/>
          <w:sz w:val="22"/>
        </w:rPr>
        <w:t>remaining or negative variance.</w:t>
      </w:r>
    </w:p>
    <w:p>
      <w:pPr>
        <w:widowControl/>
      </w:pPr>
      <w:r>
        <w:rPr>
          <w:rFonts w:ascii="Calibri" w:hAnsi="Calibri"/>
          <w:b w:val="0"/>
          <w:i w:val="0"/>
          <w:color w:val="20262E"/>
          <w:sz w:val="22"/>
        </w:rPr>
        <w:t>Material-request value already converted into a vendor bill is removed from the open-request commitment to prevent double counting.</w:t>
      </w:r>
    </w:p>
    <w:p>
      <w:pPr>
        <w:pStyle w:val="Heading2"/>
      </w:pPr>
      <w:r>
        <w:t>5.4 Procurement</w:t>
      </w:r>
    </w:p>
    <w:p>
      <w:pPr>
        <w:widowControl/>
      </w:pPr>
      <w:r>
        <w:rPr>
          <w:rFonts w:ascii="Calibri" w:hAnsi="Calibri"/>
          <w:b w:val="0"/>
          <w:i w:val="0"/>
          <w:color w:val="20262E"/>
          <w:sz w:val="22"/>
        </w:rPr>
        <w:t>Procurement contains three connected workflows: material requests, vendor bills, and petty cash.</w:t>
      </w:r>
    </w:p>
    <w:p>
      <w:pPr>
        <w:pStyle w:val="Heading3"/>
      </w:pPr>
      <w:r>
        <w:t>Material requests</w:t>
      </w:r>
    </w:p>
    <w:p>
      <w:pPr>
        <w:widowControl/>
      </w:pPr>
      <w:r>
        <w:rPr>
          <w:rFonts w:ascii="Calibri" w:hAnsi="Calibri"/>
          <w:b w:val="0"/>
          <w:i w:val="0"/>
          <w:color w:val="20262E"/>
          <w:sz w:val="22"/>
        </w:rPr>
        <w:t>A request belongs to one project and one supervisor. It includes a request number, priority, required-by date, notes, and one or more item lines.</w:t>
      </w:r>
    </w:p>
    <w:p>
      <w:pPr>
        <w:widowControl/>
      </w:pPr>
      <w:r>
        <w:rPr>
          <w:rFonts w:ascii="Calibri" w:hAnsi="Calibri"/>
          <w:b w:val="0"/>
          <w:i w:val="0"/>
          <w:color w:val="20262E"/>
          <w:sz w:val="22"/>
        </w:rPr>
        <w:t>Request statuses are:</w:t>
      </w:r>
    </w:p>
    <w:p>
      <w:pPr>
        <w:spacing w:after="80" w:line="300" w:lineRule="auto"/>
        <w:numPr>
          <w:ilvl w:val="0"/>
          <w:numId w:val="12"/>
        </w:numPr>
      </w:pPr>
      <w:r>
        <w:rPr>
          <w:rFonts w:ascii="Calibri" w:hAnsi="Calibri"/>
          <w:b w:val="0"/>
          <w:i w:val="0"/>
          <w:color w:val="20262E"/>
          <w:sz w:val="22"/>
        </w:rPr>
        <w:t>Submitted</w:t>
      </w:r>
    </w:p>
    <w:p>
      <w:pPr>
        <w:spacing w:after="80" w:line="300" w:lineRule="auto"/>
        <w:numPr>
          <w:ilvl w:val="0"/>
          <w:numId w:val="12"/>
        </w:numPr>
      </w:pPr>
      <w:r>
        <w:rPr>
          <w:rFonts w:ascii="Calibri" w:hAnsi="Calibri"/>
          <w:b w:val="0"/>
          <w:i w:val="0"/>
          <w:color w:val="20262E"/>
          <w:sz w:val="22"/>
        </w:rPr>
        <w:t>Approved</w:t>
      </w:r>
    </w:p>
    <w:p>
      <w:pPr>
        <w:spacing w:after="80" w:line="300" w:lineRule="auto"/>
        <w:numPr>
          <w:ilvl w:val="0"/>
          <w:numId w:val="12"/>
        </w:numPr>
      </w:pPr>
      <w:r>
        <w:rPr>
          <w:rFonts w:ascii="Calibri" w:hAnsi="Calibri"/>
          <w:b w:val="0"/>
          <w:i w:val="0"/>
          <w:color w:val="20262E"/>
          <w:sz w:val="22"/>
        </w:rPr>
        <w:t>Ordered</w:t>
      </w:r>
    </w:p>
    <w:p>
      <w:pPr>
        <w:spacing w:after="80" w:line="300" w:lineRule="auto"/>
        <w:numPr>
          <w:ilvl w:val="0"/>
          <w:numId w:val="12"/>
        </w:numPr>
      </w:pPr>
      <w:r>
        <w:rPr>
          <w:rFonts w:ascii="Calibri" w:hAnsi="Calibri"/>
          <w:b w:val="0"/>
          <w:i w:val="0"/>
          <w:color w:val="20262E"/>
          <w:sz w:val="22"/>
        </w:rPr>
        <w:t>Part-delivered</w:t>
      </w:r>
    </w:p>
    <w:p>
      <w:pPr>
        <w:spacing w:after="80" w:line="300" w:lineRule="auto"/>
        <w:numPr>
          <w:ilvl w:val="0"/>
          <w:numId w:val="12"/>
        </w:numPr>
      </w:pPr>
      <w:r>
        <w:rPr>
          <w:rFonts w:ascii="Calibri" w:hAnsi="Calibri"/>
          <w:b w:val="0"/>
          <w:i w:val="0"/>
          <w:color w:val="20262E"/>
          <w:sz w:val="22"/>
        </w:rPr>
        <w:t>Delivered</w:t>
      </w:r>
    </w:p>
    <w:p>
      <w:pPr>
        <w:spacing w:after="80" w:line="300" w:lineRule="auto"/>
        <w:numPr>
          <w:ilvl w:val="0"/>
          <w:numId w:val="12"/>
        </w:numPr>
      </w:pPr>
      <w:r>
        <w:rPr>
          <w:rFonts w:ascii="Calibri" w:hAnsi="Calibri"/>
          <w:b w:val="0"/>
          <w:i w:val="0"/>
          <w:color w:val="20262E"/>
          <w:sz w:val="22"/>
        </w:rPr>
        <w:t>Rejected</w:t>
      </w:r>
    </w:p>
    <w:p>
      <w:pPr>
        <w:widowControl/>
      </w:pPr>
      <w:r>
        <w:rPr>
          <w:rFonts w:ascii="Calibri" w:hAnsi="Calibri"/>
          <w:b w:val="0"/>
          <w:i w:val="0"/>
          <w:color w:val="20262E"/>
          <w:sz w:val="22"/>
        </w:rPr>
        <w:t>Submitted and rejected requests can be edited. Once approved, a request is treated as an operational record and is locked from ordinary editing.</w:t>
      </w:r>
    </w:p>
    <w:p>
      <w:pPr>
        <w:pStyle w:val="Heading3"/>
      </w:pPr>
      <w:r>
        <w:t>Combined vendor invoices</w:t>
      </w:r>
    </w:p>
    <w:p>
      <w:pPr>
        <w:widowControl/>
      </w:pPr>
      <w:r>
        <w:rPr>
          <w:rFonts w:ascii="Calibri" w:hAnsi="Calibri"/>
          <w:b w:val="0"/>
          <w:i w:val="0"/>
          <w:color w:val="20262E"/>
          <w:sz w:val="22"/>
        </w:rPr>
        <w:t>One vendor bill can contain multiple lines for different projects. Every line stores its own:</w:t>
      </w:r>
    </w:p>
    <w:p>
      <w:pPr>
        <w:spacing w:after="80" w:line="300" w:lineRule="auto"/>
        <w:numPr>
          <w:ilvl w:val="0"/>
          <w:numId w:val="10"/>
        </w:numPr>
      </w:pPr>
      <w:r>
        <w:rPr>
          <w:rFonts w:ascii="Calibri" w:hAnsi="Calibri"/>
          <w:b w:val="0"/>
          <w:i w:val="0"/>
          <w:color w:val="20262E"/>
          <w:sz w:val="22"/>
        </w:rPr>
        <w:t>project;</w:t>
      </w:r>
    </w:p>
    <w:p>
      <w:pPr>
        <w:spacing w:after="80" w:line="300" w:lineRule="auto"/>
        <w:numPr>
          <w:ilvl w:val="0"/>
          <w:numId w:val="10"/>
        </w:numPr>
      </w:pPr>
      <w:r>
        <w:rPr>
          <w:rFonts w:ascii="Calibri" w:hAnsi="Calibri"/>
          <w:b w:val="0"/>
          <w:i w:val="0"/>
          <w:color w:val="20262E"/>
          <w:sz w:val="22"/>
        </w:rPr>
        <w:t>optional originating material request;</w:t>
      </w:r>
    </w:p>
    <w:p>
      <w:pPr>
        <w:spacing w:after="80" w:line="300" w:lineRule="auto"/>
        <w:numPr>
          <w:ilvl w:val="0"/>
          <w:numId w:val="10"/>
        </w:numPr>
      </w:pPr>
      <w:r>
        <w:rPr>
          <w:rFonts w:ascii="Calibri" w:hAnsi="Calibri"/>
          <w:b w:val="0"/>
          <w:i w:val="0"/>
          <w:color w:val="20262E"/>
          <w:sz w:val="22"/>
        </w:rPr>
        <w:t>description;</w:t>
      </w:r>
    </w:p>
    <w:p>
      <w:pPr>
        <w:spacing w:after="80" w:line="300" w:lineRule="auto"/>
        <w:numPr>
          <w:ilvl w:val="0"/>
          <w:numId w:val="10"/>
        </w:numPr>
      </w:pPr>
      <w:r>
        <w:rPr>
          <w:rFonts w:ascii="Calibri" w:hAnsi="Calibri"/>
          <w:b w:val="0"/>
          <w:i w:val="0"/>
          <w:color w:val="20262E"/>
          <w:sz w:val="22"/>
        </w:rPr>
        <w:t>expense category;</w:t>
      </w:r>
    </w:p>
    <w:p>
      <w:pPr>
        <w:spacing w:after="80" w:line="300" w:lineRule="auto"/>
        <w:numPr>
          <w:ilvl w:val="0"/>
          <w:numId w:val="10"/>
        </w:numPr>
      </w:pPr>
      <w:r>
        <w:rPr>
          <w:rFonts w:ascii="Calibri" w:hAnsi="Calibri"/>
          <w:b w:val="0"/>
          <w:i w:val="0"/>
          <w:color w:val="20262E"/>
          <w:sz w:val="22"/>
        </w:rPr>
        <w:t>quantity;</w:t>
      </w:r>
    </w:p>
    <w:p>
      <w:pPr>
        <w:spacing w:after="80" w:line="300" w:lineRule="auto"/>
        <w:numPr>
          <w:ilvl w:val="0"/>
          <w:numId w:val="10"/>
        </w:numPr>
      </w:pPr>
      <w:r>
        <w:rPr>
          <w:rFonts w:ascii="Calibri" w:hAnsi="Calibri"/>
          <w:b w:val="0"/>
          <w:i w:val="0"/>
          <w:color w:val="20262E"/>
          <w:sz w:val="22"/>
        </w:rPr>
        <w:t>unit;</w:t>
      </w:r>
    </w:p>
    <w:p>
      <w:pPr>
        <w:spacing w:after="80" w:line="300" w:lineRule="auto"/>
        <w:numPr>
          <w:ilvl w:val="0"/>
          <w:numId w:val="10"/>
        </w:numPr>
      </w:pPr>
      <w:r>
        <w:rPr>
          <w:rFonts w:ascii="Calibri" w:hAnsi="Calibri"/>
          <w:b w:val="0"/>
          <w:i w:val="0"/>
          <w:color w:val="20262E"/>
          <w:sz w:val="22"/>
        </w:rPr>
        <w:t>rate; and</w:t>
      </w:r>
    </w:p>
    <w:p>
      <w:pPr>
        <w:spacing w:after="80" w:line="300" w:lineRule="auto"/>
        <w:numPr>
          <w:ilvl w:val="0"/>
          <w:numId w:val="10"/>
        </w:numPr>
      </w:pPr>
      <w:r>
        <w:rPr>
          <w:rFonts w:ascii="Calibri" w:hAnsi="Calibri"/>
          <w:b w:val="0"/>
          <w:i w:val="0"/>
          <w:color w:val="20262E"/>
          <w:sz w:val="22"/>
        </w:rPr>
        <w:t>tax rate.</w:t>
      </w:r>
    </w:p>
    <w:p>
      <w:pPr>
        <w:widowControl/>
      </w:pPr>
      <w:r>
        <w:rPr>
          <w:rFonts w:ascii="Calibri" w:hAnsi="Calibri"/>
          <w:b w:val="0"/>
          <w:i w:val="0"/>
          <w:color w:val="20262E"/>
          <w:sz w:val="22"/>
        </w:rPr>
        <w:t>Saving a vendor bill creates or updates the corresponding project expense lines. The combination of vendor and vendor invoice number must be unique.</w:t>
      </w:r>
    </w:p>
    <w:p>
      <w:pPr>
        <w:widowControl/>
      </w:pPr>
      <w:r>
        <w:rPr>
          <w:rFonts w:ascii="Calibri" w:hAnsi="Calibri"/>
          <w:b w:val="0"/>
          <w:i w:val="0"/>
          <w:color w:val="20262E"/>
          <w:sz w:val="22"/>
        </w:rPr>
        <w:t>Bill-derived expenses cannot be edited or deleted from the standalone Expenses module. They must be managed through Procurement so the vendor invoice and project allocations stay synchronized.</w:t>
      </w:r>
    </w:p>
    <w:p>
      <w:pPr>
        <w:pStyle w:val="Heading3"/>
      </w:pPr>
      <w:r>
        <w:t>Vendor payment allocation</w:t>
      </w:r>
    </w:p>
    <w:p>
      <w:pPr>
        <w:widowControl/>
      </w:pPr>
      <w:r>
        <w:rPr>
          <w:rFonts w:ascii="Calibri" w:hAnsi="Calibri"/>
          <w:b w:val="0"/>
          <w:i w:val="0"/>
          <w:color w:val="20262E"/>
          <w:sz w:val="22"/>
        </w:rPr>
        <w:t>A single payment can be allocated across multiple open lines for the same vendor. Studio Ledger creates a payment batch and one allocation record per bill line. Any remainder is recorded as an unapplied vendor advance.</w:t>
      </w:r>
    </w:p>
    <w:p>
      <w:pPr>
        <w:widowControl/>
      </w:pPr>
      <w:r>
        <w:rPr>
          <w:rFonts w:ascii="Calibri" w:hAnsi="Calibri"/>
          <w:b w:val="0"/>
          <w:i w:val="0"/>
          <w:color w:val="20262E"/>
          <w:sz w:val="22"/>
        </w:rPr>
        <w:t>Reversing one payment line from a batch reverses the whole active batch, which preserves the original payment trail and prevents a partial reversal from misstating the bank transaction.</w:t>
      </w:r>
    </w:p>
    <w:p>
      <w:pPr>
        <w:pStyle w:val="Heading3"/>
      </w:pPr>
      <w:r>
        <w:t>Petty cash</w:t>
      </w:r>
    </w:p>
    <w:p>
      <w:pPr>
        <w:widowControl/>
      </w:pPr>
      <w:r>
        <w:rPr>
          <w:rFonts w:ascii="Calibri" w:hAnsi="Calibri"/>
          <w:b w:val="0"/>
          <w:i w:val="0"/>
          <w:color w:val="20262E"/>
          <w:sz w:val="22"/>
        </w:rPr>
        <w:t>Small expenses record:</w:t>
      </w:r>
    </w:p>
    <w:p>
      <w:pPr>
        <w:spacing w:after="80" w:line="300" w:lineRule="auto"/>
        <w:numPr>
          <w:ilvl w:val="0"/>
          <w:numId w:val="10"/>
        </w:numPr>
      </w:pPr>
      <w:r>
        <w:rPr>
          <w:rFonts w:ascii="Calibri" w:hAnsi="Calibri"/>
          <w:b w:val="0"/>
          <w:i w:val="0"/>
          <w:color w:val="20262E"/>
          <w:sz w:val="22"/>
        </w:rPr>
        <w:t>project;</w:t>
      </w:r>
    </w:p>
    <w:p>
      <w:pPr>
        <w:spacing w:after="80" w:line="300" w:lineRule="auto"/>
        <w:numPr>
          <w:ilvl w:val="0"/>
          <w:numId w:val="10"/>
        </w:numPr>
      </w:pPr>
      <w:r>
        <w:rPr>
          <w:rFonts w:ascii="Calibri" w:hAnsi="Calibri"/>
          <w:b w:val="0"/>
          <w:i w:val="0"/>
          <w:color w:val="20262E"/>
          <w:sz w:val="22"/>
        </w:rPr>
        <w:t>supervisor;</w:t>
      </w:r>
    </w:p>
    <w:p>
      <w:pPr>
        <w:spacing w:after="80" w:line="300" w:lineRule="auto"/>
        <w:numPr>
          <w:ilvl w:val="0"/>
          <w:numId w:val="10"/>
        </w:numPr>
      </w:pPr>
      <w:r>
        <w:rPr>
          <w:rFonts w:ascii="Calibri" w:hAnsi="Calibri"/>
          <w:b w:val="0"/>
          <w:i w:val="0"/>
          <w:color w:val="20262E"/>
          <w:sz w:val="22"/>
        </w:rPr>
        <w:t>date;</w:t>
      </w:r>
    </w:p>
    <w:p>
      <w:pPr>
        <w:spacing w:after="80" w:line="300" w:lineRule="auto"/>
        <w:numPr>
          <w:ilvl w:val="0"/>
          <w:numId w:val="10"/>
        </w:numPr>
      </w:pPr>
      <w:r>
        <w:rPr>
          <w:rFonts w:ascii="Calibri" w:hAnsi="Calibri"/>
          <w:b w:val="0"/>
          <w:i w:val="0"/>
          <w:color w:val="20262E"/>
          <w:sz w:val="22"/>
        </w:rPr>
        <w:t>description;</w:t>
      </w:r>
    </w:p>
    <w:p>
      <w:pPr>
        <w:spacing w:after="80" w:line="300" w:lineRule="auto"/>
        <w:numPr>
          <w:ilvl w:val="0"/>
          <w:numId w:val="10"/>
        </w:numPr>
      </w:pPr>
      <w:r>
        <w:rPr>
          <w:rFonts w:ascii="Calibri" w:hAnsi="Calibri"/>
          <w:b w:val="0"/>
          <w:i w:val="0"/>
          <w:color w:val="20262E"/>
          <w:sz w:val="22"/>
        </w:rPr>
        <w:t>category;</w:t>
      </w:r>
    </w:p>
    <w:p>
      <w:pPr>
        <w:spacing w:after="80" w:line="300" w:lineRule="auto"/>
        <w:numPr>
          <w:ilvl w:val="0"/>
          <w:numId w:val="10"/>
        </w:numPr>
      </w:pPr>
      <w:r>
        <w:rPr>
          <w:rFonts w:ascii="Calibri" w:hAnsi="Calibri"/>
          <w:b w:val="0"/>
          <w:i w:val="0"/>
          <w:color w:val="20262E"/>
          <w:sz w:val="22"/>
        </w:rPr>
        <w:t>amount;</w:t>
      </w:r>
    </w:p>
    <w:p>
      <w:pPr>
        <w:spacing w:after="80" w:line="300" w:lineRule="auto"/>
        <w:numPr>
          <w:ilvl w:val="0"/>
          <w:numId w:val="10"/>
        </w:numPr>
      </w:pPr>
      <w:r>
        <w:rPr>
          <w:rFonts w:ascii="Calibri" w:hAnsi="Calibri"/>
          <w:b w:val="0"/>
          <w:i w:val="0"/>
          <w:color w:val="20262E"/>
          <w:sz w:val="22"/>
        </w:rPr>
        <w:t>payment method;</w:t>
      </w:r>
    </w:p>
    <w:p>
      <w:pPr>
        <w:spacing w:after="80" w:line="300" w:lineRule="auto"/>
        <w:numPr>
          <w:ilvl w:val="0"/>
          <w:numId w:val="10"/>
        </w:numPr>
      </w:pPr>
      <w:r>
        <w:rPr>
          <w:rFonts w:ascii="Calibri" w:hAnsi="Calibri"/>
          <w:b w:val="0"/>
          <w:i w:val="0"/>
          <w:color w:val="20262E"/>
          <w:sz w:val="22"/>
        </w:rPr>
        <w:t>receipt or voucher reference; and</w:t>
      </w:r>
    </w:p>
    <w:p>
      <w:pPr>
        <w:spacing w:after="80" w:line="300" w:lineRule="auto"/>
        <w:numPr>
          <w:ilvl w:val="0"/>
          <w:numId w:val="10"/>
        </w:numPr>
      </w:pPr>
      <w:r>
        <w:rPr>
          <w:rFonts w:ascii="Calibri" w:hAnsi="Calibri"/>
          <w:b w:val="0"/>
          <w:i w:val="0"/>
          <w:color w:val="20262E"/>
          <w:sz w:val="22"/>
        </w:rPr>
        <w:t>notes.</w:t>
      </w:r>
    </w:p>
    <w:p>
      <w:pPr>
        <w:widowControl/>
      </w:pPr>
      <w:r>
        <w:rPr>
          <w:rFonts w:ascii="Calibri" w:hAnsi="Calibri"/>
          <w:b w:val="0"/>
          <w:i w:val="0"/>
          <w:color w:val="20262E"/>
          <w:sz w:val="22"/>
        </w:rPr>
        <w:t>Petty-expense statuses are submitted, approved, rejected, and reimbursed. Submitted items do not affect project actual cost until approved. Approved items increase project cost and accounts payable. Reimbursed items remain in project cost and move from payable to paid-out cash.</w:t>
      </w:r>
    </w:p>
    <w:p>
      <w:pPr>
        <w:pStyle w:val="Heading2"/>
      </w:pPr>
      <w:r>
        <w:t>5.5 Schedule</w:t>
      </w:r>
    </w:p>
    <w:p>
      <w:pPr>
        <w:widowControl/>
      </w:pPr>
      <w:r>
        <w:rPr>
          <w:rFonts w:ascii="Calibri" w:hAnsi="Calibri"/>
          <w:b w:val="0"/>
          <w:i w:val="0"/>
          <w:color w:val="20262E"/>
          <w:sz w:val="22"/>
        </w:rPr>
        <w:t>Each project milestone records:</w:t>
      </w:r>
    </w:p>
    <w:p>
      <w:pPr>
        <w:spacing w:after="80" w:line="300" w:lineRule="auto"/>
        <w:numPr>
          <w:ilvl w:val="0"/>
          <w:numId w:val="10"/>
        </w:numPr>
      </w:pPr>
      <w:r>
        <w:rPr>
          <w:rFonts w:ascii="Calibri" w:hAnsi="Calibri"/>
          <w:b w:val="0"/>
          <w:i w:val="0"/>
          <w:color w:val="20262E"/>
          <w:sz w:val="22"/>
        </w:rPr>
        <w:t>milestone name;</w:t>
      </w:r>
    </w:p>
    <w:p>
      <w:pPr>
        <w:spacing w:after="80" w:line="300" w:lineRule="auto"/>
        <w:numPr>
          <w:ilvl w:val="0"/>
          <w:numId w:val="10"/>
        </w:numPr>
      </w:pPr>
      <w:r>
        <w:rPr>
          <w:rFonts w:ascii="Calibri" w:hAnsi="Calibri"/>
          <w:b w:val="0"/>
          <w:i w:val="0"/>
          <w:color w:val="20262E"/>
          <w:sz w:val="22"/>
        </w:rPr>
        <w:t>project;</w:t>
      </w:r>
    </w:p>
    <w:p>
      <w:pPr>
        <w:spacing w:after="80" w:line="300" w:lineRule="auto"/>
        <w:numPr>
          <w:ilvl w:val="0"/>
          <w:numId w:val="10"/>
        </w:numPr>
      </w:pPr>
      <w:r>
        <w:rPr>
          <w:rFonts w:ascii="Calibri" w:hAnsi="Calibri"/>
          <w:b w:val="0"/>
          <w:i w:val="0"/>
          <w:color w:val="20262E"/>
          <w:sz w:val="22"/>
        </w:rPr>
        <w:t>owner;</w:t>
      </w:r>
    </w:p>
    <w:p>
      <w:pPr>
        <w:spacing w:after="80" w:line="300" w:lineRule="auto"/>
        <w:numPr>
          <w:ilvl w:val="0"/>
          <w:numId w:val="10"/>
        </w:numPr>
      </w:pPr>
      <w:r>
        <w:rPr>
          <w:rFonts w:ascii="Calibri" w:hAnsi="Calibri"/>
          <w:b w:val="0"/>
          <w:i w:val="0"/>
          <w:color w:val="20262E"/>
          <w:sz w:val="22"/>
        </w:rPr>
        <w:t>planned start and end;</w:t>
      </w:r>
    </w:p>
    <w:p>
      <w:pPr>
        <w:spacing w:after="80" w:line="300" w:lineRule="auto"/>
        <w:numPr>
          <w:ilvl w:val="0"/>
          <w:numId w:val="10"/>
        </w:numPr>
      </w:pPr>
      <w:r>
        <w:rPr>
          <w:rFonts w:ascii="Calibri" w:hAnsi="Calibri"/>
          <w:b w:val="0"/>
          <w:i w:val="0"/>
          <w:color w:val="20262E"/>
          <w:sz w:val="22"/>
        </w:rPr>
        <w:t>actual completion date;</w:t>
      </w:r>
    </w:p>
    <w:p>
      <w:pPr>
        <w:spacing w:after="80" w:line="300" w:lineRule="auto"/>
        <w:numPr>
          <w:ilvl w:val="0"/>
          <w:numId w:val="10"/>
        </w:numPr>
      </w:pPr>
      <w:r>
        <w:rPr>
          <w:rFonts w:ascii="Calibri" w:hAnsi="Calibri"/>
          <w:b w:val="0"/>
          <w:i w:val="0"/>
          <w:color w:val="20262E"/>
          <w:sz w:val="22"/>
        </w:rPr>
        <w:t>status;</w:t>
      </w:r>
    </w:p>
    <w:p>
      <w:pPr>
        <w:spacing w:after="80" w:line="300" w:lineRule="auto"/>
        <w:numPr>
          <w:ilvl w:val="0"/>
          <w:numId w:val="10"/>
        </w:numPr>
      </w:pPr>
      <w:r>
        <w:rPr>
          <w:rFonts w:ascii="Calibri" w:hAnsi="Calibri"/>
          <w:b w:val="0"/>
          <w:i w:val="0"/>
          <w:color w:val="20262E"/>
          <w:sz w:val="22"/>
        </w:rPr>
        <w:t>progress percentage;</w:t>
      </w:r>
    </w:p>
    <w:p>
      <w:pPr>
        <w:spacing w:after="80" w:line="300" w:lineRule="auto"/>
        <w:numPr>
          <w:ilvl w:val="0"/>
          <w:numId w:val="10"/>
        </w:numPr>
      </w:pPr>
      <w:r>
        <w:rPr>
          <w:rFonts w:ascii="Calibri" w:hAnsi="Calibri"/>
          <w:b w:val="0"/>
          <w:i w:val="0"/>
          <w:color w:val="20262E"/>
          <w:sz w:val="22"/>
        </w:rPr>
        <w:t>blocker; and</w:t>
      </w:r>
    </w:p>
    <w:p>
      <w:pPr>
        <w:spacing w:after="80" w:line="300" w:lineRule="auto"/>
        <w:numPr>
          <w:ilvl w:val="0"/>
          <w:numId w:val="10"/>
        </w:numPr>
      </w:pPr>
      <w:r>
        <w:rPr>
          <w:rFonts w:ascii="Calibri" w:hAnsi="Calibri"/>
          <w:b w:val="0"/>
          <w:i w:val="0"/>
          <w:color w:val="20262E"/>
          <w:sz w:val="22"/>
        </w:rPr>
        <w:t>notes.</w:t>
      </w:r>
    </w:p>
    <w:p>
      <w:pPr>
        <w:widowControl/>
      </w:pPr>
      <w:r>
        <w:rPr>
          <w:rFonts w:ascii="Calibri" w:hAnsi="Calibri"/>
          <w:b w:val="0"/>
          <w:i w:val="0"/>
          <w:color w:val="20262E"/>
          <w:sz w:val="22"/>
        </w:rPr>
        <w:t>Milestone statuses are not started, in progress, blocked, and completed. Blocked work is highlighted explicitly. Non-completed work with a planned end earlier than the current local date is marked overdue.</w:t>
      </w:r>
    </w:p>
    <w:p>
      <w:pPr>
        <w:widowControl/>
      </w:pPr>
      <w:r>
        <w:rPr>
          <w:rFonts w:ascii="Calibri" w:hAnsi="Calibri"/>
          <w:b w:val="0"/>
          <w:i w:val="0"/>
          <w:color w:val="20262E"/>
          <w:sz w:val="22"/>
        </w:rPr>
        <w:t>The module is suitable for milestone control. It is not a full critical-path or resource-loaded project scheduling engine.</w:t>
      </w:r>
    </w:p>
    <w:p>
      <w:pPr>
        <w:pStyle w:val="Heading2"/>
      </w:pPr>
      <w:r>
        <w:t>5.6 Client invoices</w:t>
      </w:r>
    </w:p>
    <w:p>
      <w:pPr>
        <w:widowControl/>
      </w:pPr>
      <w:r>
        <w:rPr>
          <w:rFonts w:ascii="Calibri" w:hAnsi="Calibri"/>
          <w:b w:val="0"/>
          <w:i w:val="0"/>
          <w:color w:val="20262E"/>
          <w:sz w:val="22"/>
        </w:rPr>
        <w:t>An invoice contains a unique number, project, date, due date, status, line items, tax rate, discount, and notes.</w:t>
      </w:r>
    </w:p>
    <w:p>
      <w:pPr>
        <w:widowControl/>
      </w:pPr>
      <w:r>
        <w:rPr>
          <w:rFonts w:ascii="Calibri" w:hAnsi="Calibri"/>
          <w:b w:val="0"/>
          <w:i w:val="0"/>
          <w:color w:val="20262E"/>
          <w:sz w:val="22"/>
        </w:rPr>
        <w:t>Invoice statuses stored in data are draft and sent. Paid, partial, and overdue are derived at runtime from invoice value, allocated active receipts, due date, and current date.</w:t>
      </w:r>
    </w:p>
    <w:p>
      <w:pPr>
        <w:widowControl/>
      </w:pPr>
      <w:r>
        <w:rPr>
          <w:rFonts w:ascii="Calibri" w:hAnsi="Calibri"/>
          <w:b w:val="0"/>
          <w:i w:val="0"/>
          <w:color w:val="20262E"/>
          <w:sz w:val="22"/>
        </w:rPr>
        <w:t>Only draft invoices can be edited or deleted. Issued invoices are locked. Invoices with any payment or collection history cannot be deleted.</w:t>
      </w:r>
    </w:p>
    <w:p>
      <w:pPr>
        <w:widowControl/>
      </w:pPr>
      <w:r>
        <w:rPr>
          <w:rFonts w:ascii="Calibri" w:hAnsi="Calibri"/>
          <w:b w:val="0"/>
          <w:i w:val="0"/>
          <w:color w:val="20262E"/>
          <w:sz w:val="22"/>
        </w:rPr>
        <w:t>The current version does not create formal credit notes. If an issued invoice requires correction, finance should preserve the existing record, document the reason externally, and follow an approved adjustment process until credit-note support is added.</w:t>
      </w:r>
    </w:p>
    <w:p>
      <w:pPr>
        <w:pStyle w:val="Heading2"/>
      </w:pPr>
      <w:r>
        <w:t>5.7 Collections</w:t>
      </w:r>
    </w:p>
    <w:p>
      <w:pPr>
        <w:widowControl/>
      </w:pPr>
      <w:r>
        <w:rPr>
          <w:rFonts w:ascii="Calibri" w:hAnsi="Calibri"/>
          <w:b w:val="0"/>
          <w:i w:val="0"/>
          <w:color w:val="20262E"/>
          <w:sz w:val="22"/>
        </w:rPr>
        <w:t>Collections displays open client invoices, aging, overdue amounts, and logged follow-up activity.</w:t>
      </w:r>
    </w:p>
    <w:p>
      <w:pPr>
        <w:widowControl/>
      </w:pPr>
      <w:r>
        <w:rPr>
          <w:rFonts w:ascii="Calibri" w:hAnsi="Calibri"/>
          <w:b w:val="0"/>
          <w:i w:val="0"/>
          <w:color w:val="20262E"/>
          <w:sz w:val="22"/>
        </w:rPr>
        <w:t>An activity can be:</w:t>
      </w:r>
    </w:p>
    <w:p>
      <w:pPr>
        <w:spacing w:after="80" w:line="300" w:lineRule="auto"/>
        <w:numPr>
          <w:ilvl w:val="0"/>
          <w:numId w:val="10"/>
        </w:numPr>
      </w:pPr>
      <w:r>
        <w:rPr>
          <w:rFonts w:ascii="Calibri" w:hAnsi="Calibri"/>
          <w:b w:val="0"/>
          <w:i w:val="0"/>
          <w:color w:val="20262E"/>
          <w:sz w:val="22"/>
        </w:rPr>
        <w:t>reminder;</w:t>
      </w:r>
    </w:p>
    <w:p>
      <w:pPr>
        <w:spacing w:after="80" w:line="300" w:lineRule="auto"/>
        <w:numPr>
          <w:ilvl w:val="0"/>
          <w:numId w:val="10"/>
        </w:numPr>
      </w:pPr>
      <w:r>
        <w:rPr>
          <w:rFonts w:ascii="Calibri" w:hAnsi="Calibri"/>
          <w:b w:val="0"/>
          <w:i w:val="0"/>
          <w:color w:val="20262E"/>
          <w:sz w:val="22"/>
        </w:rPr>
        <w:t>payment promise;</w:t>
      </w:r>
    </w:p>
    <w:p>
      <w:pPr>
        <w:spacing w:after="80" w:line="300" w:lineRule="auto"/>
        <w:numPr>
          <w:ilvl w:val="0"/>
          <w:numId w:val="10"/>
        </w:numPr>
      </w:pPr>
      <w:r>
        <w:rPr>
          <w:rFonts w:ascii="Calibri" w:hAnsi="Calibri"/>
          <w:b w:val="0"/>
          <w:i w:val="0"/>
          <w:color w:val="20262E"/>
          <w:sz w:val="22"/>
        </w:rPr>
        <w:t>dispute; or</w:t>
      </w:r>
    </w:p>
    <w:p>
      <w:pPr>
        <w:spacing w:after="80" w:line="300" w:lineRule="auto"/>
        <w:numPr>
          <w:ilvl w:val="0"/>
          <w:numId w:val="10"/>
        </w:numPr>
      </w:pPr>
      <w:r>
        <w:rPr>
          <w:rFonts w:ascii="Calibri" w:hAnsi="Calibri"/>
          <w:b w:val="0"/>
          <w:i w:val="0"/>
          <w:color w:val="20262E"/>
          <w:sz w:val="22"/>
        </w:rPr>
        <w:t>note.</w:t>
      </w:r>
    </w:p>
    <w:p>
      <w:pPr>
        <w:widowControl/>
      </w:pPr>
      <w:r>
        <w:rPr>
          <w:rFonts w:ascii="Calibri" w:hAnsi="Calibri"/>
          <w:b w:val="0"/>
          <w:i w:val="0"/>
          <w:color w:val="20262E"/>
          <w:sz w:val="22"/>
        </w:rPr>
        <w:t>Activities are linked to both invoice and project. Promise dates are stored when relevant. Collection history prevents deletion of the related invoice.</w:t>
      </w:r>
    </w:p>
    <w:p>
      <w:pPr>
        <w:pStyle w:val="Heading2"/>
      </w:pPr>
      <w:r>
        <w:t>5.8 Design-to-execution commercial terms</w:t>
      </w:r>
    </w:p>
    <w:p>
      <w:pPr>
        <w:widowControl/>
      </w:pPr>
      <w:r>
        <w:rPr>
          <w:rFonts w:ascii="Calibri" w:hAnsi="Calibri"/>
          <w:b w:val="0"/>
          <w:i w:val="0"/>
          <w:color w:val="20262E"/>
          <w:sz w:val="22"/>
        </w:rPr>
        <w:t>Each project can record:</w:t>
      </w:r>
    </w:p>
    <w:p>
      <w:pPr>
        <w:spacing w:after="80" w:line="300" w:lineRule="auto"/>
        <w:numPr>
          <w:ilvl w:val="0"/>
          <w:numId w:val="10"/>
        </w:numPr>
      </w:pPr>
      <w:r>
        <w:rPr>
          <w:rFonts w:ascii="Calibri" w:hAnsi="Calibri"/>
          <w:b w:val="0"/>
          <w:i w:val="0"/>
          <w:color w:val="20262E"/>
          <w:sz w:val="22"/>
        </w:rPr>
        <w:t>standalone design fee;</w:t>
      </w:r>
    </w:p>
    <w:p>
      <w:pPr>
        <w:spacing w:after="80" w:line="300" w:lineRule="auto"/>
        <w:numPr>
          <w:ilvl w:val="0"/>
          <w:numId w:val="10"/>
        </w:numPr>
      </w:pPr>
      <w:r>
        <w:rPr>
          <w:rFonts w:ascii="Calibri" w:hAnsi="Calibri"/>
          <w:b w:val="0"/>
          <w:i w:val="0"/>
          <w:color w:val="20262E"/>
          <w:sz w:val="22"/>
        </w:rPr>
        <w:t>credit available if execution is awarded to the studio;</w:t>
      </w:r>
    </w:p>
    <w:p>
      <w:pPr>
        <w:spacing w:after="80" w:line="300" w:lineRule="auto"/>
        <w:numPr>
          <w:ilvl w:val="0"/>
          <w:numId w:val="10"/>
        </w:numPr>
      </w:pPr>
      <w:r>
        <w:rPr>
          <w:rFonts w:ascii="Calibri" w:hAnsi="Calibri"/>
          <w:b w:val="0"/>
          <w:i w:val="0"/>
          <w:color w:val="20262E"/>
          <w:sz w:val="22"/>
        </w:rPr>
        <w:t>credit expiry;</w:t>
      </w:r>
    </w:p>
    <w:p>
      <w:pPr>
        <w:spacing w:after="80" w:line="300" w:lineRule="auto"/>
        <w:numPr>
          <w:ilvl w:val="0"/>
          <w:numId w:val="10"/>
        </w:numPr>
      </w:pPr>
      <w:r>
        <w:rPr>
          <w:rFonts w:ascii="Calibri" w:hAnsi="Calibri"/>
          <w:b w:val="0"/>
          <w:i w:val="0"/>
          <w:color w:val="20262E"/>
          <w:sz w:val="22"/>
        </w:rPr>
        <w:t>minimum execution value; and</w:t>
      </w:r>
    </w:p>
    <w:p>
      <w:pPr>
        <w:spacing w:after="80" w:line="300" w:lineRule="auto"/>
        <w:numPr>
          <w:ilvl w:val="0"/>
          <w:numId w:val="10"/>
        </w:numPr>
      </w:pPr>
      <w:r>
        <w:rPr>
          <w:rFonts w:ascii="Calibri" w:hAnsi="Calibri"/>
          <w:b w:val="0"/>
          <w:i w:val="0"/>
          <w:color w:val="20262E"/>
          <w:sz w:val="22"/>
        </w:rPr>
        <w:t>conversion status.</w:t>
      </w:r>
    </w:p>
    <w:p>
      <w:pPr>
        <w:widowControl/>
      </w:pPr>
      <w:r>
        <w:rPr>
          <w:rFonts w:ascii="Calibri" w:hAnsi="Calibri"/>
          <w:b w:val="0"/>
          <w:i w:val="0"/>
          <w:color w:val="20262E"/>
          <w:sz w:val="22"/>
        </w:rPr>
        <w:t>Recommended commercial policy:</w:t>
      </w:r>
    </w:p>
    <w:p>
      <w:pPr>
        <w:spacing w:after="80" w:line="300" w:lineRule="auto"/>
        <w:numPr>
          <w:ilvl w:val="0"/>
          <w:numId w:val="13"/>
        </w:numPr>
      </w:pPr>
      <w:r>
        <w:rPr>
          <w:rFonts w:ascii="Calibri" w:hAnsi="Calibri"/>
          <w:b w:val="0"/>
          <w:i w:val="0"/>
          <w:color w:val="20262E"/>
          <w:sz w:val="22"/>
        </w:rPr>
        <w:t>price design as a profitable standalone service;</w:t>
      </w:r>
    </w:p>
    <w:p>
      <w:pPr>
        <w:spacing w:after="80" w:line="300" w:lineRule="auto"/>
        <w:numPr>
          <w:ilvl w:val="0"/>
          <w:numId w:val="13"/>
        </w:numPr>
      </w:pPr>
      <w:r>
        <w:rPr>
          <w:rFonts w:ascii="Calibri" w:hAnsi="Calibri"/>
          <w:b w:val="0"/>
          <w:i w:val="0"/>
          <w:color w:val="20262E"/>
          <w:sz w:val="22"/>
        </w:rPr>
        <w:t>state that execution credit is conditional and time-limited;</w:t>
      </w:r>
    </w:p>
    <w:p>
      <w:pPr>
        <w:spacing w:after="80" w:line="300" w:lineRule="auto"/>
        <w:numPr>
          <w:ilvl w:val="0"/>
          <w:numId w:val="13"/>
        </w:numPr>
      </w:pPr>
      <w:r>
        <w:rPr>
          <w:rFonts w:ascii="Calibri" w:hAnsi="Calibri"/>
          <w:b w:val="0"/>
          <w:i w:val="0"/>
          <w:color w:val="20262E"/>
          <w:sz w:val="22"/>
        </w:rPr>
        <w:t>set a minimum execution value;</w:t>
      </w:r>
    </w:p>
    <w:p>
      <w:pPr>
        <w:spacing w:after="80" w:line="300" w:lineRule="auto"/>
        <w:numPr>
          <w:ilvl w:val="0"/>
          <w:numId w:val="13"/>
        </w:numPr>
      </w:pPr>
      <w:r>
        <w:rPr>
          <w:rFonts w:ascii="Calibri" w:hAnsi="Calibri"/>
          <w:b w:val="0"/>
          <w:i w:val="0"/>
          <w:color w:val="20262E"/>
          <w:sz w:val="22"/>
        </w:rPr>
        <w:t>define which design deliverables are released at each payment stage;</w:t>
      </w:r>
    </w:p>
    <w:p>
      <w:pPr>
        <w:spacing w:after="80" w:line="300" w:lineRule="auto"/>
        <w:numPr>
          <w:ilvl w:val="0"/>
          <w:numId w:val="13"/>
        </w:numPr>
      </w:pPr>
      <w:r>
        <w:rPr>
          <w:rFonts w:ascii="Calibri" w:hAnsi="Calibri"/>
          <w:b w:val="0"/>
          <w:i w:val="0"/>
          <w:color w:val="20262E"/>
          <w:sz w:val="22"/>
        </w:rPr>
        <w:t>state that drawings and intellectual-property usage depend on the signed agreement; and</w:t>
      </w:r>
    </w:p>
    <w:p>
      <w:pPr>
        <w:spacing w:after="80" w:line="300" w:lineRule="auto"/>
        <w:numPr>
          <w:ilvl w:val="0"/>
          <w:numId w:val="13"/>
        </w:numPr>
      </w:pPr>
      <w:r>
        <w:rPr>
          <w:rFonts w:ascii="Calibri" w:hAnsi="Calibri"/>
          <w:b w:val="0"/>
          <w:i w:val="0"/>
          <w:color w:val="20262E"/>
          <w:sz w:val="22"/>
        </w:rPr>
        <w:t>obtain legal and tax review before using the terms in contracts.</w:t>
      </w:r>
    </w:p>
    <w:p>
      <w:pPr>
        <w:pStyle w:val="Heading2"/>
      </w:pPr>
      <w:r>
        <w:t>5.9 Expenses and payables</w:t>
      </w:r>
    </w:p>
    <w:p>
      <w:pPr>
        <w:widowControl/>
      </w:pPr>
      <w:r>
        <w:rPr>
          <w:rFonts w:ascii="Calibri" w:hAnsi="Calibri"/>
          <w:b w:val="0"/>
          <w:i w:val="0"/>
          <w:color w:val="20262E"/>
          <w:sz w:val="22"/>
        </w:rPr>
        <w:t>The Expenses module records standalone vendor or project costs with date, due date, project, vendor, category, description, and amount.</w:t>
      </w:r>
    </w:p>
    <w:p>
      <w:pPr>
        <w:widowControl/>
      </w:pPr>
      <w:r>
        <w:rPr>
          <w:rFonts w:ascii="Calibri" w:hAnsi="Calibri"/>
          <w:b w:val="0"/>
          <w:i w:val="0"/>
          <w:color w:val="20262E"/>
          <w:sz w:val="22"/>
        </w:rPr>
        <w:t>Payment status is calculated from active payments linked to the expense: open, due, overdue, partial, or paid.</w:t>
      </w:r>
    </w:p>
    <w:p>
      <w:pPr>
        <w:widowControl/>
      </w:pPr>
      <w:r>
        <w:rPr>
          <w:rFonts w:ascii="Calibri" w:hAnsi="Calibri"/>
          <w:b w:val="0"/>
          <w:i w:val="0"/>
          <w:color w:val="20262E"/>
          <w:sz w:val="22"/>
        </w:rPr>
        <w:t>A standalone expense with payment history is locked from editing and deletion. A bill-derived expense is managed only through Procurement.</w:t>
      </w:r>
    </w:p>
    <w:p>
      <w:pPr>
        <w:pStyle w:val="Heading2"/>
      </w:pPr>
      <w:r>
        <w:t>5.10 Vendors</w:t>
      </w:r>
    </w:p>
    <w:p>
      <w:pPr>
        <w:widowControl/>
      </w:pPr>
      <w:r>
        <w:rPr>
          <w:rFonts w:ascii="Calibri" w:hAnsi="Calibri"/>
          <w:b w:val="0"/>
          <w:i w:val="0"/>
          <w:color w:val="20262E"/>
          <w:sz w:val="22"/>
        </w:rPr>
        <w:t>Vendors have name, category, contact details, and notes. Categories can be added, renamed, removed when unused, or restored to defaults.</w:t>
      </w:r>
    </w:p>
    <w:p>
      <w:pPr>
        <w:widowControl/>
      </w:pPr>
      <w:r>
        <w:rPr>
          <w:rFonts w:ascii="Calibri" w:hAnsi="Calibri"/>
          <w:b w:val="0"/>
          <w:i w:val="0"/>
          <w:color w:val="20262E"/>
          <w:sz w:val="22"/>
        </w:rPr>
        <w:t>A vendor with expense, payment, or vendor-bill history cannot be deleted.</w:t>
      </w:r>
    </w:p>
    <w:p>
      <w:pPr>
        <w:pStyle w:val="Heading2"/>
      </w:pPr>
      <w:r>
        <w:t>5.11 Payments</w:t>
      </w:r>
    </w:p>
    <w:p>
      <w:pPr>
        <w:widowControl/>
      </w:pPr>
      <w:r>
        <w:rPr>
          <w:rFonts w:ascii="Calibri" w:hAnsi="Calibri"/>
          <w:b w:val="0"/>
          <w:i w:val="0"/>
          <w:color w:val="20262E"/>
          <w:sz w:val="22"/>
        </w:rPr>
        <w:t>Payments are split into:</w:t>
      </w:r>
    </w:p>
    <w:p>
      <w:pPr>
        <w:spacing w:after="80" w:line="300" w:lineRule="auto"/>
        <w:numPr>
          <w:ilvl w:val="0"/>
          <w:numId w:val="10"/>
        </w:numPr>
      </w:pPr>
      <w:r>
        <w:rPr>
          <w:rFonts w:ascii="Calibri" w:hAnsi="Calibri"/>
          <w:b w:val="0"/>
          <w:i w:val="0"/>
          <w:color w:val="20262E"/>
          <w:sz w:val="22"/>
        </w:rPr>
        <w:t>client receipts; and</w:t>
      </w:r>
    </w:p>
    <w:p>
      <w:pPr>
        <w:spacing w:after="80" w:line="300" w:lineRule="auto"/>
        <w:numPr>
          <w:ilvl w:val="0"/>
          <w:numId w:val="10"/>
        </w:numPr>
      </w:pPr>
      <w:r>
        <w:rPr>
          <w:rFonts w:ascii="Calibri" w:hAnsi="Calibri"/>
          <w:b w:val="0"/>
          <w:i w:val="0"/>
          <w:color w:val="20262E"/>
          <w:sz w:val="22"/>
        </w:rPr>
        <w:t>vendor payments.</w:t>
      </w:r>
    </w:p>
    <w:p>
      <w:pPr>
        <w:widowControl/>
      </w:pPr>
      <w:r>
        <w:rPr>
          <w:rFonts w:ascii="Calibri" w:hAnsi="Calibri"/>
          <w:b w:val="0"/>
          <w:i w:val="0"/>
          <w:color w:val="20262E"/>
          <w:sz w:val="22"/>
        </w:rPr>
        <w:t>Payments are append-only financial records. They cannot be physically deleted or edited after posting. Corrections use reversal, which adds a reversal timestamp while retaining the original amount, reference, date, and links.</w:t>
      </w:r>
    </w:p>
    <w:p>
      <w:pPr>
        <w:widowControl/>
      </w:pPr>
      <w:r>
        <w:rPr>
          <w:rFonts w:ascii="Calibri" w:hAnsi="Calibri"/>
          <w:b w:val="0"/>
          <w:i w:val="0"/>
          <w:color w:val="20262E"/>
          <w:sz w:val="22"/>
        </w:rPr>
        <w:t>When a payment is linked to an invoice or bill, its amount cannot exceed the current open balance. Excess money must be recorded as an unlinked client advance or vendor advance.</w:t>
      </w:r>
    </w:p>
    <w:p>
      <w:pPr>
        <w:pStyle w:val="Heading2"/>
      </w:pPr>
      <w:r>
        <w:t>5.12 Settings, export, and backup</w:t>
      </w:r>
    </w:p>
    <w:p>
      <w:pPr>
        <w:widowControl/>
      </w:pPr>
      <w:r>
        <w:rPr>
          <w:rFonts w:ascii="Calibri" w:hAnsi="Calibri"/>
          <w:b w:val="0"/>
          <w:i w:val="0"/>
          <w:color w:val="20262E"/>
          <w:sz w:val="22"/>
        </w:rPr>
        <w:t>Settings controls studio identity, invoice defaults, currency, tax label, tax rate, invoice sequence, and vendor categories.</w:t>
      </w:r>
    </w:p>
    <w:p>
      <w:pPr>
        <w:widowControl/>
      </w:pPr>
      <w:r>
        <w:rPr>
          <w:rFonts w:ascii="Calibri" w:hAnsi="Calibri"/>
          <w:b w:val="0"/>
          <w:i w:val="0"/>
          <w:color w:val="20262E"/>
          <w:sz w:val="22"/>
        </w:rPr>
        <w:t>Users can export major datasets as CSV and the entire ledger as JSON.</w:t>
      </w:r>
    </w:p>
    <w:p>
      <w:pPr>
        <w:widowControl/>
      </w:pPr>
      <w:r>
        <w:rPr>
          <w:rFonts w:ascii="Calibri" w:hAnsi="Calibri"/>
          <w:b w:val="0"/>
          <w:i w:val="0"/>
          <w:color w:val="20262E"/>
          <w:sz w:val="22"/>
        </w:rPr>
        <w:t>Backup import is additive. Existing records are retained, and imported records whose IDs do not exist are appended. The import process does not replace or erase current financial history.</w:t>
      </w:r>
    </w:p>
    <w:p>
      <w:pPr>
        <w:widowControl/>
      </w:pPr>
      <w:r>
        <w:rPr>
          <w:rFonts w:ascii="Calibri" w:hAnsi="Calibri"/>
          <w:b w:val="0"/>
          <w:i w:val="0"/>
          <w:color w:val="20262E"/>
          <w:sz w:val="22"/>
        </w:rPr>
        <w:t>The reset control is disabled when financial or operational history exists.</w:t>
      </w:r>
    </w:p>
    <w:p>
      <w:pPr>
        <w:pStyle w:val="Heading1"/>
      </w:pPr>
      <w:r>
        <w:t>6. End-to-end operating workflows</w:t>
      </w:r>
    </w:p>
    <w:p>
      <w:pPr>
        <w:pStyle w:val="Heading2"/>
      </w:pPr>
      <w:r>
        <w:t>6.1 New project and pre-design estimate</w:t>
      </w:r>
    </w:p>
    <w:p>
      <w:pPr>
        <w:spacing w:after="80" w:line="300" w:lineRule="auto"/>
        <w:numPr>
          <w:ilvl w:val="0"/>
          <w:numId w:val="14"/>
        </w:numPr>
      </w:pPr>
      <w:r>
        <w:rPr>
          <w:rFonts w:ascii="Calibri" w:hAnsi="Calibri"/>
          <w:b w:val="0"/>
          <w:i w:val="0"/>
          <w:color w:val="20262E"/>
          <w:sz w:val="22"/>
        </w:rPr>
        <w:t>Create the project and client record.</w:t>
      </w:r>
    </w:p>
    <w:p>
      <w:pPr>
        <w:spacing w:after="80" w:line="300" w:lineRule="auto"/>
        <w:numPr>
          <w:ilvl w:val="0"/>
          <w:numId w:val="14"/>
        </w:numPr>
      </w:pPr>
      <w:r>
        <w:rPr>
          <w:rFonts w:ascii="Calibri" w:hAnsi="Calibri"/>
          <w:b w:val="0"/>
          <w:i w:val="0"/>
          <w:color w:val="20262E"/>
          <w:sz w:val="22"/>
        </w:rPr>
        <w:t>Record a profitable standalone design fee.</w:t>
      </w:r>
    </w:p>
    <w:p>
      <w:pPr>
        <w:spacing w:after="80" w:line="300" w:lineRule="auto"/>
        <w:numPr>
          <w:ilvl w:val="0"/>
          <w:numId w:val="14"/>
        </w:numPr>
      </w:pPr>
      <w:r>
        <w:rPr>
          <w:rFonts w:ascii="Calibri" w:hAnsi="Calibri"/>
          <w:b w:val="0"/>
          <w:i w:val="0"/>
          <w:color w:val="20262E"/>
          <w:sz w:val="22"/>
        </w:rPr>
        <w:t>Define conditional execution-credit terms.</w:t>
      </w:r>
    </w:p>
    <w:p>
      <w:pPr>
        <w:spacing w:after="80" w:line="300" w:lineRule="auto"/>
        <w:numPr>
          <w:ilvl w:val="0"/>
          <w:numId w:val="14"/>
        </w:numPr>
      </w:pPr>
      <w:r>
        <w:rPr>
          <w:rFonts w:ascii="Calibri" w:hAnsi="Calibri"/>
          <w:b w:val="0"/>
          <w:i w:val="0"/>
          <w:color w:val="20262E"/>
          <w:sz w:val="22"/>
        </w:rPr>
        <w:t>Create a rough estimate using area, rate, finish level, contingency, assumptions, and exclusions.</w:t>
      </w:r>
    </w:p>
    <w:p>
      <w:pPr>
        <w:spacing w:after="80" w:line="300" w:lineRule="auto"/>
        <w:numPr>
          <w:ilvl w:val="0"/>
          <w:numId w:val="14"/>
        </w:numPr>
      </w:pPr>
      <w:r>
        <w:rPr>
          <w:rFonts w:ascii="Calibri" w:hAnsi="Calibri"/>
          <w:b w:val="0"/>
          <w:i w:val="0"/>
          <w:color w:val="20262E"/>
          <w:sz w:val="22"/>
        </w:rPr>
        <w:t>Share the working range with clear non-contractual language.</w:t>
      </w:r>
    </w:p>
    <w:p>
      <w:pPr>
        <w:spacing w:after="80" w:line="300" w:lineRule="auto"/>
        <w:numPr>
          <w:ilvl w:val="0"/>
          <w:numId w:val="14"/>
        </w:numPr>
      </w:pPr>
      <w:r>
        <w:rPr>
          <w:rFonts w:ascii="Calibri" w:hAnsi="Calibri"/>
          <w:b w:val="0"/>
          <w:i w:val="0"/>
          <w:color w:val="20262E"/>
          <w:sz w:val="22"/>
        </w:rPr>
        <w:t>Create the design and planning milestones.</w:t>
      </w:r>
    </w:p>
    <w:p>
      <w:pPr>
        <w:pStyle w:val="Heading2"/>
      </w:pPr>
      <w:r>
        <w:t>6.2 Detailed estimate after floor planning</w:t>
      </w:r>
    </w:p>
    <w:p>
      <w:pPr>
        <w:spacing w:after="80" w:line="300" w:lineRule="auto"/>
        <w:numPr>
          <w:ilvl w:val="0"/>
          <w:numId w:val="15"/>
        </w:numPr>
      </w:pPr>
      <w:r>
        <w:rPr>
          <w:rFonts w:ascii="Calibri" w:hAnsi="Calibri"/>
          <w:b w:val="0"/>
          <w:i w:val="0"/>
          <w:color w:val="20262E"/>
          <w:sz w:val="22"/>
        </w:rPr>
        <w:t>Create a detailed BOQ revision.</w:t>
      </w:r>
    </w:p>
    <w:p>
      <w:pPr>
        <w:spacing w:after="80" w:line="300" w:lineRule="auto"/>
        <w:numPr>
          <w:ilvl w:val="0"/>
          <w:numId w:val="15"/>
        </w:numPr>
      </w:pPr>
      <w:r>
        <w:rPr>
          <w:rFonts w:ascii="Calibri" w:hAnsi="Calibri"/>
          <w:b w:val="0"/>
          <w:i w:val="0"/>
          <w:color w:val="20262E"/>
          <w:sz w:val="22"/>
        </w:rPr>
        <w:t>Enter measured room-wise lines.</w:t>
      </w:r>
    </w:p>
    <w:p>
      <w:pPr>
        <w:spacing w:after="80" w:line="300" w:lineRule="auto"/>
        <w:numPr>
          <w:ilvl w:val="0"/>
          <w:numId w:val="15"/>
        </w:numPr>
      </w:pPr>
      <w:r>
        <w:rPr>
          <w:rFonts w:ascii="Calibri" w:hAnsi="Calibri"/>
          <w:b w:val="0"/>
          <w:i w:val="0"/>
          <w:color w:val="20262E"/>
          <w:sz w:val="22"/>
        </w:rPr>
        <w:t>Separate material, labour, and markup inputs.</w:t>
      </w:r>
    </w:p>
    <w:p>
      <w:pPr>
        <w:spacing w:after="80" w:line="300" w:lineRule="auto"/>
        <w:numPr>
          <w:ilvl w:val="0"/>
          <w:numId w:val="15"/>
        </w:numPr>
      </w:pPr>
      <w:r>
        <w:rPr>
          <w:rFonts w:ascii="Calibri" w:hAnsi="Calibri"/>
          <w:b w:val="0"/>
          <w:i w:val="0"/>
          <w:color w:val="20262E"/>
          <w:sz w:val="22"/>
        </w:rPr>
        <w:t>Add contingency and design fee.</w:t>
      </w:r>
    </w:p>
    <w:p>
      <w:pPr>
        <w:spacing w:after="80" w:line="300" w:lineRule="auto"/>
        <w:numPr>
          <w:ilvl w:val="0"/>
          <w:numId w:val="15"/>
        </w:numPr>
      </w:pPr>
      <w:r>
        <w:rPr>
          <w:rFonts w:ascii="Calibri" w:hAnsi="Calibri"/>
          <w:b w:val="0"/>
          <w:i w:val="0"/>
          <w:color w:val="20262E"/>
          <w:sz w:val="22"/>
        </w:rPr>
        <w:t>Review assumptions, exclusions, scope boundaries, and validity period.</w:t>
      </w:r>
    </w:p>
    <w:p>
      <w:pPr>
        <w:spacing w:after="80" w:line="300" w:lineRule="auto"/>
        <w:numPr>
          <w:ilvl w:val="0"/>
          <w:numId w:val="15"/>
        </w:numPr>
      </w:pPr>
      <w:r>
        <w:rPr>
          <w:rFonts w:ascii="Calibri" w:hAnsi="Calibri"/>
          <w:b w:val="0"/>
          <w:i w:val="0"/>
          <w:color w:val="20262E"/>
          <w:sz w:val="22"/>
        </w:rPr>
        <w:t>Approve the version as the project baseline.</w:t>
      </w:r>
    </w:p>
    <w:p>
      <w:pPr>
        <w:spacing w:after="80" w:line="300" w:lineRule="auto"/>
        <w:numPr>
          <w:ilvl w:val="0"/>
          <w:numId w:val="15"/>
        </w:numPr>
      </w:pPr>
      <w:r>
        <w:rPr>
          <w:rFonts w:ascii="Calibri" w:hAnsi="Calibri"/>
          <w:b w:val="0"/>
          <w:i w:val="0"/>
          <w:color w:val="20262E"/>
          <w:sz w:val="22"/>
        </w:rPr>
        <w:t>Create a new revision for later scope changes; do not overwrite the approved baseline.</w:t>
      </w:r>
    </w:p>
    <w:p>
      <w:pPr>
        <w:pStyle w:val="Heading2"/>
      </w:pPr>
      <w:r>
        <w:t>6.3 Site material purchasing</w:t>
      </w:r>
    </w:p>
    <w:p>
      <w:pPr>
        <w:spacing w:after="80" w:line="300" w:lineRule="auto"/>
        <w:numPr>
          <w:ilvl w:val="0"/>
          <w:numId w:val="16"/>
        </w:numPr>
      </w:pPr>
      <w:r>
        <w:rPr>
          <w:rFonts w:ascii="Calibri" w:hAnsi="Calibri"/>
          <w:b w:val="0"/>
          <w:i w:val="0"/>
          <w:color w:val="20262E"/>
          <w:sz w:val="22"/>
        </w:rPr>
        <w:t>Supervisor submits a project-specific material request.</w:t>
      </w:r>
    </w:p>
    <w:p>
      <w:pPr>
        <w:spacing w:after="80" w:line="300" w:lineRule="auto"/>
        <w:numPr>
          <w:ilvl w:val="0"/>
          <w:numId w:val="16"/>
        </w:numPr>
      </w:pPr>
      <w:r>
        <w:rPr>
          <w:rFonts w:ascii="Calibri" w:hAnsi="Calibri"/>
          <w:b w:val="0"/>
          <w:i w:val="0"/>
          <w:color w:val="20262E"/>
          <w:sz w:val="22"/>
        </w:rPr>
        <w:t>Operations reviews quantity, required date, specification, and estimate.</w:t>
      </w:r>
    </w:p>
    <w:p>
      <w:pPr>
        <w:spacing w:after="80" w:line="300" w:lineRule="auto"/>
        <w:numPr>
          <w:ilvl w:val="0"/>
          <w:numId w:val="16"/>
        </w:numPr>
      </w:pPr>
      <w:r>
        <w:rPr>
          <w:rFonts w:ascii="Calibri" w:hAnsi="Calibri"/>
          <w:b w:val="0"/>
          <w:i w:val="0"/>
          <w:color w:val="20262E"/>
          <w:sz w:val="22"/>
        </w:rPr>
        <w:t>Approve or reject the request.</w:t>
      </w:r>
    </w:p>
    <w:p>
      <w:pPr>
        <w:spacing w:after="80" w:line="300" w:lineRule="auto"/>
        <w:numPr>
          <w:ilvl w:val="0"/>
          <w:numId w:val="16"/>
        </w:numPr>
      </w:pPr>
      <w:r>
        <w:rPr>
          <w:rFonts w:ascii="Calibri" w:hAnsi="Calibri"/>
          <w:b w:val="0"/>
          <w:i w:val="0"/>
          <w:color w:val="20262E"/>
          <w:sz w:val="22"/>
        </w:rPr>
        <w:t>Procurement orders approved items.</w:t>
      </w:r>
    </w:p>
    <w:p>
      <w:pPr>
        <w:spacing w:after="80" w:line="300" w:lineRule="auto"/>
        <w:numPr>
          <w:ilvl w:val="0"/>
          <w:numId w:val="16"/>
        </w:numPr>
      </w:pPr>
      <w:r>
        <w:rPr>
          <w:rFonts w:ascii="Calibri" w:hAnsi="Calibri"/>
          <w:b w:val="0"/>
          <w:i w:val="0"/>
          <w:color w:val="20262E"/>
          <w:sz w:val="22"/>
        </w:rPr>
        <w:t>Convert the request into a vendor bill when invoiced.</w:t>
      </w:r>
    </w:p>
    <w:p>
      <w:pPr>
        <w:spacing w:after="80" w:line="300" w:lineRule="auto"/>
        <w:numPr>
          <w:ilvl w:val="0"/>
          <w:numId w:val="16"/>
        </w:numPr>
      </w:pPr>
      <w:r>
        <w:rPr>
          <w:rFonts w:ascii="Calibri" w:hAnsi="Calibri"/>
          <w:b w:val="0"/>
          <w:i w:val="0"/>
          <w:color w:val="20262E"/>
          <w:sz w:val="22"/>
        </w:rPr>
        <w:t>Allocate each bill line to the correct project.</w:t>
      </w:r>
    </w:p>
    <w:p>
      <w:pPr>
        <w:spacing w:after="80" w:line="300" w:lineRule="auto"/>
        <w:numPr>
          <w:ilvl w:val="0"/>
          <w:numId w:val="16"/>
        </w:numPr>
      </w:pPr>
      <w:r>
        <w:rPr>
          <w:rFonts w:ascii="Calibri" w:hAnsi="Calibri"/>
          <w:b w:val="0"/>
          <w:i w:val="0"/>
          <w:color w:val="20262E"/>
          <w:sz w:val="22"/>
        </w:rPr>
        <w:t>Update delivery status to part-delivered or delivered.</w:t>
      </w:r>
    </w:p>
    <w:p>
      <w:pPr>
        <w:spacing w:after="80" w:line="300" w:lineRule="auto"/>
        <w:numPr>
          <w:ilvl w:val="0"/>
          <w:numId w:val="16"/>
        </w:numPr>
      </w:pPr>
      <w:r>
        <w:rPr>
          <w:rFonts w:ascii="Calibri" w:hAnsi="Calibri"/>
          <w:b w:val="0"/>
          <w:i w:val="0"/>
          <w:color w:val="20262E"/>
          <w:sz w:val="22"/>
        </w:rPr>
        <w:t>Monitor the open commitment in project cost control.</w:t>
      </w:r>
    </w:p>
    <w:p>
      <w:pPr>
        <w:pStyle w:val="Heading2"/>
      </w:pPr>
      <w:r>
        <w:t>6.4 One vendor invoice for multiple projects</w:t>
      </w:r>
    </w:p>
    <w:p>
      <w:pPr>
        <w:spacing w:after="80" w:line="300" w:lineRule="auto"/>
        <w:numPr>
          <w:ilvl w:val="0"/>
          <w:numId w:val="17"/>
        </w:numPr>
      </w:pPr>
      <w:r>
        <w:rPr>
          <w:rFonts w:ascii="Calibri" w:hAnsi="Calibri"/>
          <w:b w:val="0"/>
          <w:i w:val="0"/>
          <w:color w:val="20262E"/>
          <w:sz w:val="22"/>
        </w:rPr>
        <w:t>Open Procurement and create one vendor bill.</w:t>
      </w:r>
    </w:p>
    <w:p>
      <w:pPr>
        <w:spacing w:after="80" w:line="300" w:lineRule="auto"/>
        <w:numPr>
          <w:ilvl w:val="0"/>
          <w:numId w:val="17"/>
        </w:numPr>
      </w:pPr>
      <w:r>
        <w:rPr>
          <w:rFonts w:ascii="Calibri" w:hAnsi="Calibri"/>
          <w:b w:val="0"/>
          <w:i w:val="0"/>
          <w:color w:val="20262E"/>
          <w:sz w:val="22"/>
        </w:rPr>
        <w:t>Select the vendor and enter the supplier's invoice number.</w:t>
      </w:r>
    </w:p>
    <w:p>
      <w:pPr>
        <w:spacing w:after="80" w:line="300" w:lineRule="auto"/>
        <w:numPr>
          <w:ilvl w:val="0"/>
          <w:numId w:val="17"/>
        </w:numPr>
      </w:pPr>
      <w:r>
        <w:rPr>
          <w:rFonts w:ascii="Calibri" w:hAnsi="Calibri"/>
          <w:b w:val="0"/>
          <w:i w:val="0"/>
          <w:color w:val="20262E"/>
          <w:sz w:val="22"/>
        </w:rPr>
        <w:t>Add one or more lines for each project.</w:t>
      </w:r>
    </w:p>
    <w:p>
      <w:pPr>
        <w:spacing w:after="80" w:line="300" w:lineRule="auto"/>
        <w:numPr>
          <w:ilvl w:val="0"/>
          <w:numId w:val="17"/>
        </w:numPr>
      </w:pPr>
      <w:r>
        <w:rPr>
          <w:rFonts w:ascii="Calibri" w:hAnsi="Calibri"/>
          <w:b w:val="0"/>
          <w:i w:val="0"/>
          <w:color w:val="20262E"/>
          <w:sz w:val="22"/>
        </w:rPr>
        <w:t>Connect lines to originating requests when applicable.</w:t>
      </w:r>
    </w:p>
    <w:p>
      <w:pPr>
        <w:spacing w:after="80" w:line="300" w:lineRule="auto"/>
        <w:numPr>
          <w:ilvl w:val="0"/>
          <w:numId w:val="17"/>
        </w:numPr>
      </w:pPr>
      <w:r>
        <w:rPr>
          <w:rFonts w:ascii="Calibri" w:hAnsi="Calibri"/>
          <w:b w:val="0"/>
          <w:i w:val="0"/>
          <w:color w:val="20262E"/>
          <w:sz w:val="22"/>
        </w:rPr>
        <w:t>Verify quantity, rate, tax, category, and project.</w:t>
      </w:r>
    </w:p>
    <w:p>
      <w:pPr>
        <w:spacing w:after="80" w:line="300" w:lineRule="auto"/>
        <w:numPr>
          <w:ilvl w:val="0"/>
          <w:numId w:val="17"/>
        </w:numPr>
      </w:pPr>
      <w:r>
        <w:rPr>
          <w:rFonts w:ascii="Calibri" w:hAnsi="Calibri"/>
          <w:b w:val="0"/>
          <w:i w:val="0"/>
          <w:color w:val="20262E"/>
          <w:sz w:val="22"/>
        </w:rPr>
        <w:t>Save once; Studio Ledger creates the project expense lines.</w:t>
      </w:r>
    </w:p>
    <w:p>
      <w:pPr>
        <w:spacing w:after="80" w:line="300" w:lineRule="auto"/>
        <w:numPr>
          <w:ilvl w:val="0"/>
          <w:numId w:val="17"/>
        </w:numPr>
      </w:pPr>
      <w:r>
        <w:rPr>
          <w:rFonts w:ascii="Calibri" w:hAnsi="Calibri"/>
          <w:b w:val="0"/>
          <w:i w:val="0"/>
          <w:color w:val="20262E"/>
          <w:sz w:val="22"/>
        </w:rPr>
        <w:t>Allocate later payments across the open lines.</w:t>
      </w:r>
    </w:p>
    <w:p>
      <w:pPr>
        <w:pStyle w:val="Heading2"/>
      </w:pPr>
      <w:r>
        <w:t>6.5 Petty cash</w:t>
      </w:r>
    </w:p>
    <w:p>
      <w:pPr>
        <w:spacing w:after="80" w:line="300" w:lineRule="auto"/>
        <w:numPr>
          <w:ilvl w:val="0"/>
          <w:numId w:val="18"/>
        </w:numPr>
      </w:pPr>
      <w:r>
        <w:rPr>
          <w:rFonts w:ascii="Calibri" w:hAnsi="Calibri"/>
          <w:b w:val="0"/>
          <w:i w:val="0"/>
          <w:color w:val="20262E"/>
          <w:sz w:val="22"/>
        </w:rPr>
        <w:t>Supervisor records the expense promptly.</w:t>
      </w:r>
    </w:p>
    <w:p>
      <w:pPr>
        <w:spacing w:after="80" w:line="300" w:lineRule="auto"/>
        <w:numPr>
          <w:ilvl w:val="0"/>
          <w:numId w:val="18"/>
        </w:numPr>
      </w:pPr>
      <w:r>
        <w:rPr>
          <w:rFonts w:ascii="Calibri" w:hAnsi="Calibri"/>
          <w:b w:val="0"/>
          <w:i w:val="0"/>
          <w:color w:val="20262E"/>
          <w:sz w:val="22"/>
        </w:rPr>
        <w:t>Add the receipt or voucher reference.</w:t>
      </w:r>
    </w:p>
    <w:p>
      <w:pPr>
        <w:spacing w:after="80" w:line="300" w:lineRule="auto"/>
        <w:numPr>
          <w:ilvl w:val="0"/>
          <w:numId w:val="18"/>
        </w:numPr>
      </w:pPr>
      <w:r>
        <w:rPr>
          <w:rFonts w:ascii="Calibri" w:hAnsi="Calibri"/>
          <w:b w:val="0"/>
          <w:i w:val="0"/>
          <w:color w:val="20262E"/>
          <w:sz w:val="22"/>
        </w:rPr>
        <w:t>Manager approves or rejects it.</w:t>
      </w:r>
    </w:p>
    <w:p>
      <w:pPr>
        <w:spacing w:after="80" w:line="300" w:lineRule="auto"/>
        <w:numPr>
          <w:ilvl w:val="0"/>
          <w:numId w:val="18"/>
        </w:numPr>
      </w:pPr>
      <w:r>
        <w:rPr>
          <w:rFonts w:ascii="Calibri" w:hAnsi="Calibri"/>
          <w:b w:val="0"/>
          <w:i w:val="0"/>
          <w:color w:val="20262E"/>
          <w:sz w:val="22"/>
        </w:rPr>
        <w:t>Finance reimburses approved items.</w:t>
      </w:r>
    </w:p>
    <w:p>
      <w:pPr>
        <w:spacing w:after="80" w:line="300" w:lineRule="auto"/>
        <w:numPr>
          <w:ilvl w:val="0"/>
          <w:numId w:val="18"/>
        </w:numPr>
      </w:pPr>
      <w:r>
        <w:rPr>
          <w:rFonts w:ascii="Calibri" w:hAnsi="Calibri"/>
          <w:b w:val="0"/>
          <w:i w:val="0"/>
          <w:color w:val="20262E"/>
          <w:sz w:val="22"/>
        </w:rPr>
        <w:t>Mark the item reimbursed only after money is paid.</w:t>
      </w:r>
    </w:p>
    <w:p>
      <w:pPr>
        <w:pStyle w:val="Heading2"/>
      </w:pPr>
      <w:r>
        <w:t>6.6 Vendor payment</w:t>
      </w:r>
    </w:p>
    <w:p>
      <w:pPr>
        <w:spacing w:after="80" w:line="300" w:lineRule="auto"/>
        <w:numPr>
          <w:ilvl w:val="0"/>
          <w:numId w:val="19"/>
        </w:numPr>
      </w:pPr>
      <w:r>
        <w:rPr>
          <w:rFonts w:ascii="Calibri" w:hAnsi="Calibri"/>
          <w:b w:val="0"/>
          <w:i w:val="0"/>
          <w:color w:val="20262E"/>
          <w:sz w:val="22"/>
        </w:rPr>
        <w:t>Open the relevant vendor bill.</w:t>
      </w:r>
    </w:p>
    <w:p>
      <w:pPr>
        <w:spacing w:after="80" w:line="300" w:lineRule="auto"/>
        <w:numPr>
          <w:ilvl w:val="0"/>
          <w:numId w:val="19"/>
        </w:numPr>
      </w:pPr>
      <w:r>
        <w:rPr>
          <w:rFonts w:ascii="Calibri" w:hAnsi="Calibri"/>
          <w:b w:val="0"/>
          <w:i w:val="0"/>
          <w:color w:val="20262E"/>
          <w:sz w:val="22"/>
        </w:rPr>
        <w:t>Enter the actual bank or cash payment.</w:t>
      </w:r>
    </w:p>
    <w:p>
      <w:pPr>
        <w:spacing w:after="80" w:line="300" w:lineRule="auto"/>
        <w:numPr>
          <w:ilvl w:val="0"/>
          <w:numId w:val="19"/>
        </w:numPr>
      </w:pPr>
      <w:r>
        <w:rPr>
          <w:rFonts w:ascii="Calibri" w:hAnsi="Calibri"/>
          <w:b w:val="0"/>
          <w:i w:val="0"/>
          <w:color w:val="20262E"/>
          <w:sz w:val="22"/>
        </w:rPr>
        <w:t>Auto-allocate oldest open items or allocate manually.</w:t>
      </w:r>
    </w:p>
    <w:p>
      <w:pPr>
        <w:spacing w:after="80" w:line="300" w:lineRule="auto"/>
        <w:numPr>
          <w:ilvl w:val="0"/>
          <w:numId w:val="19"/>
        </w:numPr>
      </w:pPr>
      <w:r>
        <w:rPr>
          <w:rFonts w:ascii="Calibri" w:hAnsi="Calibri"/>
          <w:b w:val="0"/>
          <w:i w:val="0"/>
          <w:color w:val="20262E"/>
          <w:sz w:val="22"/>
        </w:rPr>
        <w:t>Confirm allocated total does not exceed the payment.</w:t>
      </w:r>
    </w:p>
    <w:p>
      <w:pPr>
        <w:spacing w:after="80" w:line="300" w:lineRule="auto"/>
        <w:numPr>
          <w:ilvl w:val="0"/>
          <w:numId w:val="19"/>
        </w:numPr>
      </w:pPr>
      <w:r>
        <w:rPr>
          <w:rFonts w:ascii="Calibri" w:hAnsi="Calibri"/>
          <w:b w:val="0"/>
          <w:i w:val="0"/>
          <w:color w:val="20262E"/>
          <w:sz w:val="22"/>
        </w:rPr>
        <w:t>Record the transaction reference.</w:t>
      </w:r>
    </w:p>
    <w:p>
      <w:pPr>
        <w:spacing w:after="80" w:line="300" w:lineRule="auto"/>
        <w:numPr>
          <w:ilvl w:val="0"/>
          <w:numId w:val="19"/>
        </w:numPr>
      </w:pPr>
      <w:r>
        <w:rPr>
          <w:rFonts w:ascii="Calibri" w:hAnsi="Calibri"/>
          <w:b w:val="0"/>
          <w:i w:val="0"/>
          <w:color w:val="20262E"/>
          <w:sz w:val="22"/>
        </w:rPr>
        <w:t>Record any excess as an unapplied advance.</w:t>
      </w:r>
    </w:p>
    <w:p>
      <w:pPr>
        <w:spacing w:after="80" w:line="300" w:lineRule="auto"/>
        <w:numPr>
          <w:ilvl w:val="0"/>
          <w:numId w:val="19"/>
        </w:numPr>
      </w:pPr>
      <w:r>
        <w:rPr>
          <w:rFonts w:ascii="Calibri" w:hAnsi="Calibri"/>
          <w:b w:val="0"/>
          <w:i w:val="0"/>
          <w:color w:val="20262E"/>
          <w:sz w:val="22"/>
        </w:rPr>
        <w:t>Reverse the batch if the bank transaction was posted incorrectly.</w:t>
      </w:r>
    </w:p>
    <w:p>
      <w:pPr>
        <w:pStyle w:val="Heading2"/>
      </w:pPr>
      <w:r>
        <w:t>6.7 Client billing and collection</w:t>
      </w:r>
    </w:p>
    <w:p>
      <w:pPr>
        <w:spacing w:after="80" w:line="300" w:lineRule="auto"/>
        <w:numPr>
          <w:ilvl w:val="0"/>
          <w:numId w:val="20"/>
        </w:numPr>
      </w:pPr>
      <w:r>
        <w:rPr>
          <w:rFonts w:ascii="Calibri" w:hAnsi="Calibri"/>
          <w:b w:val="0"/>
          <w:i w:val="0"/>
          <w:color w:val="20262E"/>
          <w:sz w:val="22"/>
        </w:rPr>
        <w:t>Create and review a draft invoice.</w:t>
      </w:r>
    </w:p>
    <w:p>
      <w:pPr>
        <w:spacing w:after="80" w:line="300" w:lineRule="auto"/>
        <w:numPr>
          <w:ilvl w:val="0"/>
          <w:numId w:val="20"/>
        </w:numPr>
      </w:pPr>
      <w:r>
        <w:rPr>
          <w:rFonts w:ascii="Calibri" w:hAnsi="Calibri"/>
          <w:b w:val="0"/>
          <w:i w:val="0"/>
          <w:color w:val="20262E"/>
          <w:sz w:val="22"/>
        </w:rPr>
        <w:t>Issue the invoice by moving it to sent.</w:t>
      </w:r>
    </w:p>
    <w:p>
      <w:pPr>
        <w:spacing w:after="80" w:line="300" w:lineRule="auto"/>
        <w:numPr>
          <w:ilvl w:val="0"/>
          <w:numId w:val="20"/>
        </w:numPr>
      </w:pPr>
      <w:r>
        <w:rPr>
          <w:rFonts w:ascii="Calibri" w:hAnsi="Calibri"/>
          <w:b w:val="0"/>
          <w:i w:val="0"/>
          <w:color w:val="20262E"/>
          <w:sz w:val="22"/>
        </w:rPr>
        <w:t>Record each client receipt.</w:t>
      </w:r>
    </w:p>
    <w:p>
      <w:pPr>
        <w:spacing w:after="80" w:line="300" w:lineRule="auto"/>
        <w:numPr>
          <w:ilvl w:val="0"/>
          <w:numId w:val="20"/>
        </w:numPr>
      </w:pPr>
      <w:r>
        <w:rPr>
          <w:rFonts w:ascii="Calibri" w:hAnsi="Calibri"/>
          <w:b w:val="0"/>
          <w:i w:val="0"/>
          <w:color w:val="20262E"/>
          <w:sz w:val="22"/>
        </w:rPr>
        <w:t>Link the receipt to the invoice to reduce receivable.</w:t>
      </w:r>
    </w:p>
    <w:p>
      <w:pPr>
        <w:spacing w:after="80" w:line="300" w:lineRule="auto"/>
        <w:numPr>
          <w:ilvl w:val="0"/>
          <w:numId w:val="20"/>
        </w:numPr>
      </w:pPr>
      <w:r>
        <w:rPr>
          <w:rFonts w:ascii="Calibri" w:hAnsi="Calibri"/>
          <w:b w:val="0"/>
          <w:i w:val="0"/>
          <w:color w:val="20262E"/>
          <w:sz w:val="22"/>
        </w:rPr>
        <w:t>Record excess receipts as unlinked client advances.</w:t>
      </w:r>
    </w:p>
    <w:p>
      <w:pPr>
        <w:spacing w:after="80" w:line="300" w:lineRule="auto"/>
        <w:numPr>
          <w:ilvl w:val="0"/>
          <w:numId w:val="20"/>
        </w:numPr>
      </w:pPr>
      <w:r>
        <w:rPr>
          <w:rFonts w:ascii="Calibri" w:hAnsi="Calibri"/>
          <w:b w:val="0"/>
          <w:i w:val="0"/>
          <w:color w:val="20262E"/>
          <w:sz w:val="22"/>
        </w:rPr>
        <w:t>Monitor aging and overdue invoices.</w:t>
      </w:r>
    </w:p>
    <w:p>
      <w:pPr>
        <w:spacing w:after="80" w:line="300" w:lineRule="auto"/>
        <w:numPr>
          <w:ilvl w:val="0"/>
          <w:numId w:val="20"/>
        </w:numPr>
      </w:pPr>
      <w:r>
        <w:rPr>
          <w:rFonts w:ascii="Calibri" w:hAnsi="Calibri"/>
          <w:b w:val="0"/>
          <w:i w:val="0"/>
          <w:color w:val="20262E"/>
          <w:sz w:val="22"/>
        </w:rPr>
        <w:t>Log reminders, promises, disputes, and notes.</w:t>
      </w:r>
    </w:p>
    <w:p>
      <w:pPr>
        <w:spacing w:after="80" w:line="300" w:lineRule="auto"/>
        <w:numPr>
          <w:ilvl w:val="0"/>
          <w:numId w:val="20"/>
        </w:numPr>
      </w:pPr>
      <w:r>
        <w:rPr>
          <w:rFonts w:ascii="Calibri" w:hAnsi="Calibri"/>
          <w:b w:val="0"/>
          <w:i w:val="0"/>
          <w:color w:val="20262E"/>
          <w:sz w:val="22"/>
        </w:rPr>
        <w:t>Escalate delayed final payments according to the signed contract.</w:t>
      </w:r>
    </w:p>
    <w:p>
      <w:pPr>
        <w:pStyle w:val="Heading2"/>
      </w:pPr>
      <w:r>
        <w:t>6.8 Project completion</w:t>
      </w:r>
    </w:p>
    <w:p>
      <w:pPr>
        <w:spacing w:after="80" w:line="300" w:lineRule="auto"/>
        <w:numPr>
          <w:ilvl w:val="0"/>
          <w:numId w:val="21"/>
        </w:numPr>
      </w:pPr>
      <w:r>
        <w:rPr>
          <w:rFonts w:ascii="Calibri" w:hAnsi="Calibri"/>
          <w:b w:val="0"/>
          <w:i w:val="0"/>
          <w:color w:val="20262E"/>
          <w:sz w:val="22"/>
        </w:rPr>
        <w:t>Review incomplete and blocked milestones.</w:t>
      </w:r>
    </w:p>
    <w:p>
      <w:pPr>
        <w:spacing w:after="80" w:line="300" w:lineRule="auto"/>
        <w:numPr>
          <w:ilvl w:val="0"/>
          <w:numId w:val="21"/>
        </w:numPr>
      </w:pPr>
      <w:r>
        <w:rPr>
          <w:rFonts w:ascii="Calibri" w:hAnsi="Calibri"/>
          <w:b w:val="0"/>
          <w:i w:val="0"/>
          <w:color w:val="20262E"/>
          <w:sz w:val="22"/>
        </w:rPr>
        <w:t>Confirm all vendor invoices and petty expenses are recorded.</w:t>
      </w:r>
    </w:p>
    <w:p>
      <w:pPr>
        <w:spacing w:after="80" w:line="300" w:lineRule="auto"/>
        <w:numPr>
          <w:ilvl w:val="0"/>
          <w:numId w:val="21"/>
        </w:numPr>
      </w:pPr>
      <w:r>
        <w:rPr>
          <w:rFonts w:ascii="Calibri" w:hAnsi="Calibri"/>
          <w:b w:val="0"/>
          <w:i w:val="0"/>
          <w:color w:val="20262E"/>
          <w:sz w:val="22"/>
        </w:rPr>
        <w:t>Confirm open material requests are delivered or rejected.</w:t>
      </w:r>
    </w:p>
    <w:p>
      <w:pPr>
        <w:spacing w:after="80" w:line="300" w:lineRule="auto"/>
        <w:numPr>
          <w:ilvl w:val="0"/>
          <w:numId w:val="21"/>
        </w:numPr>
      </w:pPr>
      <w:r>
        <w:rPr>
          <w:rFonts w:ascii="Calibri" w:hAnsi="Calibri"/>
          <w:b w:val="0"/>
          <w:i w:val="0"/>
          <w:color w:val="20262E"/>
          <w:sz w:val="22"/>
        </w:rPr>
        <w:t>Compare final actual cost with the approved estimate.</w:t>
      </w:r>
    </w:p>
    <w:p>
      <w:pPr>
        <w:spacing w:after="80" w:line="300" w:lineRule="auto"/>
        <w:numPr>
          <w:ilvl w:val="0"/>
          <w:numId w:val="21"/>
        </w:numPr>
      </w:pPr>
      <w:r>
        <w:rPr>
          <w:rFonts w:ascii="Calibri" w:hAnsi="Calibri"/>
          <w:b w:val="0"/>
          <w:i w:val="0"/>
          <w:color w:val="20262E"/>
          <w:sz w:val="22"/>
        </w:rPr>
        <w:t>Issue the final client invoice.</w:t>
      </w:r>
    </w:p>
    <w:p>
      <w:pPr>
        <w:spacing w:after="80" w:line="300" w:lineRule="auto"/>
        <w:numPr>
          <w:ilvl w:val="0"/>
          <w:numId w:val="21"/>
        </w:numPr>
      </w:pPr>
      <w:r>
        <w:rPr>
          <w:rFonts w:ascii="Calibri" w:hAnsi="Calibri"/>
          <w:b w:val="0"/>
          <w:i w:val="0"/>
          <w:color w:val="20262E"/>
          <w:sz w:val="22"/>
        </w:rPr>
        <w:t>Resolve open receivables and payables.</w:t>
      </w:r>
    </w:p>
    <w:p>
      <w:pPr>
        <w:spacing w:after="80" w:line="300" w:lineRule="auto"/>
        <w:numPr>
          <w:ilvl w:val="0"/>
          <w:numId w:val="21"/>
        </w:numPr>
      </w:pPr>
      <w:r>
        <w:rPr>
          <w:rFonts w:ascii="Calibri" w:hAnsi="Calibri"/>
          <w:b w:val="0"/>
          <w:i w:val="0"/>
          <w:color w:val="20262E"/>
          <w:sz w:val="22"/>
        </w:rPr>
        <w:t>Complete milestones and mark the project completed.</w:t>
      </w:r>
    </w:p>
    <w:p>
      <w:pPr>
        <w:spacing w:after="80" w:line="300" w:lineRule="auto"/>
        <w:numPr>
          <w:ilvl w:val="0"/>
          <w:numId w:val="21"/>
        </w:numPr>
      </w:pPr>
      <w:r>
        <w:rPr>
          <w:rFonts w:ascii="Calibri" w:hAnsi="Calibri"/>
          <w:b w:val="0"/>
          <w:i w:val="0"/>
          <w:color w:val="20262E"/>
          <w:sz w:val="22"/>
        </w:rPr>
        <w:t>Retain the ledger records; do not delete the project.</w:t>
      </w:r>
    </w:p>
    <w:p>
      <w:pPr>
        <w:pStyle w:val="Heading1"/>
      </w:pPr>
      <w:r>
        <w:t>7. Financial and forecasting logic</w:t>
      </w:r>
    </w:p>
    <w:p>
      <w:pPr>
        <w:pStyle w:val="Heading2"/>
      </w:pPr>
      <w:r>
        <w:t>7.1 Invoice calculation</w:t>
      </w:r>
    </w:p>
    <w:p>
      <w:pPr>
        <w:widowControl/>
      </w:pPr>
      <w:r>
        <w:rPr>
          <w:rFonts w:ascii="Calibri" w:hAnsi="Calibri"/>
          <w:b w:val="0"/>
          <w:i w:val="0"/>
          <w:color w:val="20262E"/>
          <w:sz w:val="22"/>
        </w:rPr>
        <w:t>For each invoice:</w:t>
      </w:r>
    </w:p>
    <w:p>
      <w:pPr>
        <w:spacing w:before="80" w:after="160" w:line="252" w:lineRule="auto"/>
        <w:ind w:left="259" w:right="259"/>
        <w:shd w:fill="F2F4F7"/>
      </w:pPr>
      <w:r>
        <w:rPr>
          <w:rFonts w:ascii="Courier New" w:hAnsi="Courier New"/>
          <w:color w:val="1F4D78"/>
          <w:sz w:val="17"/>
        </w:rPr>
        <w:t>Subtotal = sum(round(quantity x rate, 2))</w:t>
        <w:br/>
        <w:t>Discount = min(subtotal, max(discount, 0))</w:t>
        <w:br/>
        <w:t>Taxable value = max(subtotal - discount, 0)</w:t>
        <w:br/>
        <w:t>Tax = round(taxable value x max(tax rate, 0) / 100, 2)</w:t>
        <w:br/>
        <w:t>Invoice total = round(taxable value + tax, 2)</w:t>
      </w:r>
    </w:p>
    <w:p>
      <w:pPr>
        <w:pStyle w:val="Heading2"/>
      </w:pPr>
      <w:r>
        <w:t>7.2 Accounts receivable</w:t>
      </w:r>
    </w:p>
    <w:p>
      <w:pPr>
        <w:widowControl/>
      </w:pPr>
      <w:r>
        <w:rPr>
          <w:rFonts w:ascii="Calibri" w:hAnsi="Calibri"/>
          <w:b w:val="0"/>
          <w:i w:val="0"/>
          <w:color w:val="20262E"/>
          <w:sz w:val="22"/>
        </w:rPr>
        <w:t>Only non-draft invoices are included.</w:t>
      </w:r>
    </w:p>
    <w:p>
      <w:pPr>
        <w:spacing w:before="80" w:after="160" w:line="252" w:lineRule="auto"/>
        <w:ind w:left="259" w:right="259"/>
        <w:shd w:fill="F2F4F7"/>
      </w:pPr>
      <w:r>
        <w:rPr>
          <w:rFonts w:ascii="Courier New" w:hAnsi="Courier New"/>
          <w:color w:val="1F4D78"/>
          <w:sz w:val="17"/>
        </w:rPr>
        <w:t>Invoice balance = max(invoice total - active receipts allocated to invoice, 0)</w:t>
        <w:br/>
        <w:t>Accounts receivable = sum(invoice balances)</w:t>
      </w:r>
    </w:p>
    <w:p>
      <w:pPr>
        <w:widowControl/>
      </w:pPr>
      <w:r>
        <w:rPr>
          <w:rFonts w:ascii="Calibri" w:hAnsi="Calibri"/>
          <w:b w:val="0"/>
          <w:i w:val="0"/>
          <w:color w:val="20262E"/>
          <w:sz w:val="22"/>
        </w:rPr>
        <w:t>Unallocated receipts do not reduce accounts receivable.</w:t>
      </w:r>
    </w:p>
    <w:p>
      <w:pPr>
        <w:pStyle w:val="Heading2"/>
      </w:pPr>
      <w:r>
        <w:t>7.3 Accounts payable</w:t>
      </w:r>
    </w:p>
    <w:p>
      <w:pPr>
        <w:spacing w:before="80" w:after="160" w:line="252" w:lineRule="auto"/>
        <w:ind w:left="259" w:right="259"/>
        <w:shd w:fill="F2F4F7"/>
      </w:pPr>
      <w:r>
        <w:rPr>
          <w:rFonts w:ascii="Courier New" w:hAnsi="Courier New"/>
          <w:color w:val="1F4D78"/>
          <w:sz w:val="17"/>
        </w:rPr>
        <w:t>Expense balance = max(expense amount - active payments allocated to expense, 0)</w:t>
        <w:br/>
        <w:t>Accounts payable =</w:t>
        <w:br/>
        <w:t xml:space="preserve">    sum(expense balances)</w:t>
        <w:br/>
        <w:t xml:space="preserve">    + sum(approved petty expenses not yet reimbursed)</w:t>
      </w:r>
    </w:p>
    <w:p>
      <w:pPr>
        <w:widowControl/>
      </w:pPr>
      <w:r>
        <w:rPr>
          <w:rFonts w:ascii="Calibri" w:hAnsi="Calibri"/>
          <w:b w:val="0"/>
          <w:i w:val="0"/>
          <w:color w:val="20262E"/>
          <w:sz w:val="22"/>
        </w:rPr>
        <w:t>Unallocated vendor payments do not reduce accounts payable.</w:t>
      </w:r>
    </w:p>
    <w:p>
      <w:pPr>
        <w:pStyle w:val="Heading2"/>
      </w:pPr>
      <w:r>
        <w:t>7.4 Rough estimate</w:t>
      </w:r>
    </w:p>
    <w:p>
      <w:pPr>
        <w:spacing w:before="80" w:after="160" w:line="252" w:lineRule="auto"/>
        <w:ind w:left="259" w:right="259"/>
        <w:shd w:fill="F2F4F7"/>
      </w:pPr>
      <w:r>
        <w:rPr>
          <w:rFonts w:ascii="Courier New" w:hAnsi="Courier New"/>
          <w:color w:val="1F4D78"/>
          <w:sz w:val="17"/>
        </w:rPr>
        <w:t>Execution estimate = area x base rate</w:t>
        <w:br/>
        <w:t>Contingency = execution estimate x contingency percentage</w:t>
        <w:br/>
        <w:t>Rough estimate total = execution estimate + contingency + design fee</w:t>
      </w:r>
    </w:p>
    <w:p>
      <w:pPr>
        <w:pStyle w:val="Heading2"/>
      </w:pPr>
      <w:r>
        <w:t>7.5 Detailed BOQ</w:t>
      </w:r>
    </w:p>
    <w:p>
      <w:pPr>
        <w:widowControl/>
      </w:pPr>
      <w:r>
        <w:rPr>
          <w:rFonts w:ascii="Calibri" w:hAnsi="Calibri"/>
          <w:b w:val="0"/>
          <w:i w:val="0"/>
          <w:color w:val="20262E"/>
          <w:sz w:val="22"/>
        </w:rPr>
        <w:t>For each line:</w:t>
      </w:r>
    </w:p>
    <w:p>
      <w:pPr>
        <w:spacing w:before="80" w:after="160" w:line="252" w:lineRule="auto"/>
        <w:ind w:left="259" w:right="259"/>
        <w:shd w:fill="F2F4F7"/>
      </w:pPr>
      <w:r>
        <w:rPr>
          <w:rFonts w:ascii="Courier New" w:hAnsi="Courier New"/>
          <w:color w:val="1F4D78"/>
          <w:sz w:val="17"/>
        </w:rPr>
        <w:t>Line base cost = quantity x (material rate + labour rate)</w:t>
        <w:br/>
        <w:t>Line value = line base cost + (line base cost x markup percentage)</w:t>
      </w:r>
    </w:p>
    <w:p>
      <w:pPr>
        <w:widowControl/>
      </w:pPr>
      <w:r>
        <w:rPr>
          <w:rFonts w:ascii="Calibri" w:hAnsi="Calibri"/>
          <w:b w:val="0"/>
          <w:i w:val="0"/>
          <w:color w:val="20262E"/>
          <w:sz w:val="22"/>
        </w:rPr>
        <w:t>At estimate level:</w:t>
      </w:r>
    </w:p>
    <w:p>
      <w:pPr>
        <w:spacing w:before="80" w:after="160" w:line="252" w:lineRule="auto"/>
        <w:ind w:left="259" w:right="259"/>
        <w:shd w:fill="F2F4F7"/>
      </w:pPr>
      <w:r>
        <w:rPr>
          <w:rFonts w:ascii="Courier New" w:hAnsi="Courier New"/>
          <w:color w:val="1F4D78"/>
          <w:sz w:val="17"/>
        </w:rPr>
        <w:t>BOQ subtotal = sum(line values)</w:t>
        <w:br/>
        <w:t>Estimate total = BOQ subtotal</w:t>
        <w:br/>
        <w:t xml:space="preserve">               + (BOQ subtotal x contingency percentage)</w:t>
        <w:br/>
        <w:t xml:space="preserve">               + design fee</w:t>
      </w:r>
    </w:p>
    <w:p>
      <w:pPr>
        <w:pStyle w:val="Heading2"/>
      </w:pPr>
      <w:r>
        <w:t>7.6 Project cost forecast</w:t>
      </w:r>
    </w:p>
    <w:p>
      <w:pPr>
        <w:spacing w:before="80" w:after="160" w:line="252" w:lineRule="auto"/>
        <w:ind w:left="259" w:right="259"/>
        <w:shd w:fill="F2F4F7"/>
      </w:pPr>
      <w:r>
        <w:rPr>
          <w:rFonts w:ascii="Courier New" w:hAnsi="Courier New"/>
          <w:color w:val="1F4D78"/>
          <w:sz w:val="17"/>
        </w:rPr>
        <w:t>Baseline = latest approved estimate; otherwise project budget</w:t>
        <w:br/>
        <w:t>Actual cost = project expenses + approved/reimbursed petty expenses</w:t>
        <w:br/>
        <w:t>Open request commitment =</w:t>
        <w:br/>
        <w:t xml:space="preserve">    remaining estimated value of non-delivered, non-rejected requests</w:t>
        <w:br/>
        <w:t xml:space="preserve">    after subtracting bill value already linked to each request</w:t>
        <w:br/>
        <w:t>Forecast cost = actual cost + open request commitment</w:t>
        <w:br/>
        <w:t>Variance = baseline - forecast cost</w:t>
      </w:r>
    </w:p>
    <w:p>
      <w:pPr>
        <w:pStyle w:val="Heading2"/>
      </w:pPr>
      <w:r>
        <w:t>7.7 Cash versus accrual-style balances</w:t>
      </w:r>
    </w:p>
    <w:p>
      <w:pPr>
        <w:widowControl/>
      </w:pPr>
      <w:r>
        <w:rPr>
          <w:rFonts w:ascii="Calibri" w:hAnsi="Calibri"/>
          <w:b w:val="0"/>
          <w:i w:val="0"/>
          <w:color w:val="20262E"/>
          <w:sz w:val="22"/>
        </w:rPr>
        <w:t>Studio Ledger intentionally keeps:</w:t>
      </w:r>
    </w:p>
    <w:p>
      <w:pPr>
        <w:spacing w:after="80" w:line="300" w:lineRule="auto"/>
        <w:numPr>
          <w:ilvl w:val="0"/>
          <w:numId w:val="10"/>
        </w:numPr>
      </w:pPr>
      <w:r>
        <w:rPr>
          <w:rFonts w:ascii="Calibri" w:hAnsi="Calibri"/>
          <w:b/>
          <w:i w:val="0"/>
          <w:color w:val="20262E"/>
          <w:sz w:val="22"/>
        </w:rPr>
        <w:t>cash received</w:t>
      </w:r>
      <w:r>
        <w:rPr>
          <w:rFonts w:ascii="Calibri" w:hAnsi="Calibri"/>
          <w:b w:val="0"/>
          <w:i w:val="0"/>
          <w:color w:val="20262E"/>
          <w:sz w:val="22"/>
        </w:rPr>
        <w:t xml:space="preserve"> separate from accounts receivable;</w:t>
      </w:r>
    </w:p>
    <w:p>
      <w:pPr>
        <w:spacing w:after="80" w:line="300" w:lineRule="auto"/>
        <w:numPr>
          <w:ilvl w:val="0"/>
          <w:numId w:val="10"/>
        </w:numPr>
      </w:pPr>
      <w:r>
        <w:rPr>
          <w:rFonts w:ascii="Calibri" w:hAnsi="Calibri"/>
          <w:b/>
          <w:i w:val="0"/>
          <w:color w:val="20262E"/>
          <w:sz w:val="22"/>
        </w:rPr>
        <w:t>cash paid out</w:t>
      </w:r>
      <w:r>
        <w:rPr>
          <w:rFonts w:ascii="Calibri" w:hAnsi="Calibri"/>
          <w:b w:val="0"/>
          <w:i w:val="0"/>
          <w:color w:val="20262E"/>
          <w:sz w:val="22"/>
        </w:rPr>
        <w:t xml:space="preserve"> separate from accounts payable; and</w:t>
      </w:r>
    </w:p>
    <w:p>
      <w:pPr>
        <w:spacing w:after="80" w:line="300" w:lineRule="auto"/>
        <w:numPr>
          <w:ilvl w:val="0"/>
          <w:numId w:val="10"/>
        </w:numPr>
      </w:pPr>
      <w:r>
        <w:rPr>
          <w:rFonts w:ascii="Calibri" w:hAnsi="Calibri"/>
          <w:b/>
          <w:i w:val="0"/>
          <w:color w:val="20262E"/>
          <w:sz w:val="22"/>
        </w:rPr>
        <w:t>recorded cost</w:t>
      </w:r>
      <w:r>
        <w:rPr>
          <w:rFonts w:ascii="Calibri" w:hAnsi="Calibri"/>
          <w:b w:val="0"/>
          <w:i w:val="0"/>
          <w:color w:val="20262E"/>
          <w:sz w:val="22"/>
        </w:rPr>
        <w:t xml:space="preserve"> separate from paid-out cash.</w:t>
      </w:r>
    </w:p>
    <w:p>
      <w:pPr>
        <w:widowControl/>
      </w:pPr>
      <w:r>
        <w:rPr>
          <w:rFonts w:ascii="Calibri" w:hAnsi="Calibri"/>
          <w:b w:val="0"/>
          <w:i w:val="0"/>
          <w:color w:val="20262E"/>
          <w:sz w:val="22"/>
        </w:rPr>
        <w:t>This prevents an unallocated advance from silently settling the wrong invoice or bill.</w:t>
      </w:r>
    </w:p>
    <w:p>
      <w:pPr>
        <w:pStyle w:val="Heading1"/>
      </w:pPr>
      <w:r>
        <w:t>8. Record integrity and correction policy</w:t>
      </w:r>
    </w:p>
    <w:p>
      <w:pPr>
        <w:widowControl/>
      </w:pPr>
      <w:r>
        <w:rPr>
          <w:rFonts w:ascii="Calibri" w:hAnsi="Calibri"/>
          <w:b w:val="0"/>
          <w:i w:val="0"/>
          <w:color w:val="20262E"/>
          <w:sz w:val="22"/>
        </w:rPr>
        <w:t>Studio Ledger applies the following rules:</w:t>
      </w:r>
    </w:p>
    <w:p>
      <w:pPr>
        <w:spacing w:after="80" w:line="300" w:lineRule="auto"/>
        <w:numPr>
          <w:ilvl w:val="0"/>
          <w:numId w:val="10"/>
        </w:numPr>
      </w:pPr>
      <w:r>
        <w:rPr>
          <w:rFonts w:ascii="Calibri" w:hAnsi="Calibri"/>
          <w:b w:val="0"/>
          <w:i w:val="0"/>
          <w:color w:val="20262E"/>
          <w:sz w:val="22"/>
        </w:rPr>
        <w:t>projects with history cannot be deleted;</w:t>
      </w:r>
    </w:p>
    <w:p>
      <w:pPr>
        <w:spacing w:after="80" w:line="300" w:lineRule="auto"/>
        <w:numPr>
          <w:ilvl w:val="0"/>
          <w:numId w:val="10"/>
        </w:numPr>
      </w:pPr>
      <w:r>
        <w:rPr>
          <w:rFonts w:ascii="Calibri" w:hAnsi="Calibri"/>
          <w:b w:val="0"/>
          <w:i w:val="0"/>
          <w:color w:val="20262E"/>
          <w:sz w:val="22"/>
        </w:rPr>
        <w:t>vendors with history cannot be deleted;</w:t>
      </w:r>
    </w:p>
    <w:p>
      <w:pPr>
        <w:spacing w:after="80" w:line="300" w:lineRule="auto"/>
        <w:numPr>
          <w:ilvl w:val="0"/>
          <w:numId w:val="10"/>
        </w:numPr>
      </w:pPr>
      <w:r>
        <w:rPr>
          <w:rFonts w:ascii="Calibri" w:hAnsi="Calibri"/>
          <w:b w:val="0"/>
          <w:i w:val="0"/>
          <w:color w:val="20262E"/>
          <w:sz w:val="22"/>
        </w:rPr>
        <w:t>only draft invoices without history can be deleted;</w:t>
      </w:r>
    </w:p>
    <w:p>
      <w:pPr>
        <w:spacing w:after="80" w:line="300" w:lineRule="auto"/>
        <w:numPr>
          <w:ilvl w:val="0"/>
          <w:numId w:val="10"/>
        </w:numPr>
      </w:pPr>
      <w:r>
        <w:rPr>
          <w:rFonts w:ascii="Calibri" w:hAnsi="Calibri"/>
          <w:b w:val="0"/>
          <w:i w:val="0"/>
          <w:color w:val="20262E"/>
          <w:sz w:val="22"/>
        </w:rPr>
        <w:t>issued invoices are locked;</w:t>
      </w:r>
    </w:p>
    <w:p>
      <w:pPr>
        <w:spacing w:after="80" w:line="300" w:lineRule="auto"/>
        <w:numPr>
          <w:ilvl w:val="0"/>
          <w:numId w:val="10"/>
        </w:numPr>
      </w:pPr>
      <w:r>
        <w:rPr>
          <w:rFonts w:ascii="Calibri" w:hAnsi="Calibri"/>
          <w:b w:val="0"/>
          <w:i w:val="0"/>
          <w:color w:val="20262E"/>
          <w:sz w:val="22"/>
        </w:rPr>
        <w:t>paid expenses are locked;</w:t>
      </w:r>
    </w:p>
    <w:p>
      <w:pPr>
        <w:spacing w:after="80" w:line="300" w:lineRule="auto"/>
        <w:numPr>
          <w:ilvl w:val="0"/>
          <w:numId w:val="10"/>
        </w:numPr>
      </w:pPr>
      <w:r>
        <w:rPr>
          <w:rFonts w:ascii="Calibri" w:hAnsi="Calibri"/>
          <w:b w:val="0"/>
          <w:i w:val="0"/>
          <w:color w:val="20262E"/>
          <w:sz w:val="22"/>
        </w:rPr>
        <w:t>vendor-bill expense lines are managed through the parent vendor bill;</w:t>
      </w:r>
    </w:p>
    <w:p>
      <w:pPr>
        <w:spacing w:after="80" w:line="300" w:lineRule="auto"/>
        <w:numPr>
          <w:ilvl w:val="0"/>
          <w:numId w:val="10"/>
        </w:numPr>
      </w:pPr>
      <w:r>
        <w:rPr>
          <w:rFonts w:ascii="Calibri" w:hAnsi="Calibri"/>
          <w:b w:val="0"/>
          <w:i w:val="0"/>
          <w:color w:val="20262E"/>
          <w:sz w:val="22"/>
        </w:rPr>
        <w:t>paid vendor bills cannot be edited or deleted;</w:t>
      </w:r>
    </w:p>
    <w:p>
      <w:pPr>
        <w:spacing w:after="80" w:line="300" w:lineRule="auto"/>
        <w:numPr>
          <w:ilvl w:val="0"/>
          <w:numId w:val="10"/>
        </w:numPr>
      </w:pPr>
      <w:r>
        <w:rPr>
          <w:rFonts w:ascii="Calibri" w:hAnsi="Calibri"/>
          <w:b w:val="0"/>
          <w:i w:val="0"/>
          <w:color w:val="20262E"/>
          <w:sz w:val="22"/>
        </w:rPr>
        <w:t>payments are reversed, not deleted;</w:t>
      </w:r>
    </w:p>
    <w:p>
      <w:pPr>
        <w:spacing w:after="80" w:line="300" w:lineRule="auto"/>
        <w:numPr>
          <w:ilvl w:val="0"/>
          <w:numId w:val="10"/>
        </w:numPr>
      </w:pPr>
      <w:r>
        <w:rPr>
          <w:rFonts w:ascii="Calibri" w:hAnsi="Calibri"/>
          <w:b w:val="0"/>
          <w:i w:val="0"/>
          <w:color w:val="20262E"/>
          <w:sz w:val="22"/>
        </w:rPr>
        <w:t>vendor payment batches reverse as a batch;</w:t>
      </w:r>
    </w:p>
    <w:p>
      <w:pPr>
        <w:spacing w:after="80" w:line="300" w:lineRule="auto"/>
        <w:numPr>
          <w:ilvl w:val="0"/>
          <w:numId w:val="10"/>
        </w:numPr>
      </w:pPr>
      <w:r>
        <w:rPr>
          <w:rFonts w:ascii="Calibri" w:hAnsi="Calibri"/>
          <w:b w:val="0"/>
          <w:i w:val="0"/>
          <w:color w:val="20262E"/>
          <w:sz w:val="22"/>
        </w:rPr>
        <w:t>approved estimate baselines are locked;</w:t>
      </w:r>
    </w:p>
    <w:p>
      <w:pPr>
        <w:spacing w:after="80" w:line="300" w:lineRule="auto"/>
        <w:numPr>
          <w:ilvl w:val="0"/>
          <w:numId w:val="10"/>
        </w:numPr>
      </w:pPr>
      <w:r>
        <w:rPr>
          <w:rFonts w:ascii="Calibri" w:hAnsi="Calibri"/>
          <w:b w:val="0"/>
          <w:i w:val="0"/>
          <w:color w:val="20262E"/>
          <w:sz w:val="22"/>
        </w:rPr>
        <w:t>additive backup import cannot erase current history; and</w:t>
      </w:r>
    </w:p>
    <w:p>
      <w:pPr>
        <w:spacing w:after="80" w:line="300" w:lineRule="auto"/>
        <w:numPr>
          <w:ilvl w:val="0"/>
          <w:numId w:val="10"/>
        </w:numPr>
      </w:pPr>
      <w:r>
        <w:rPr>
          <w:rFonts w:ascii="Calibri" w:hAnsi="Calibri"/>
          <w:b w:val="0"/>
          <w:i w:val="0"/>
          <w:color w:val="20262E"/>
          <w:sz w:val="22"/>
        </w:rPr>
        <w:t>workspace reset is unavailable once protected history exists.</w:t>
      </w:r>
    </w:p>
    <w:p>
      <w:pPr>
        <w:widowControl/>
      </w:pPr>
      <w:r>
        <w:rPr>
          <w:rFonts w:ascii="Calibri" w:hAnsi="Calibri"/>
          <w:b w:val="0"/>
          <w:i w:val="0"/>
          <w:color w:val="20262E"/>
          <w:sz w:val="22"/>
        </w:rPr>
        <w:t>These controls improve historical integrity but do not replace a certified immutable audit ledger. The cloud audit table records who changed the whole ledger version and when; it does not store a field-level before-and-after diff.</w:t>
      </w:r>
    </w:p>
    <w:p>
      <w:pPr>
        <w:pStyle w:val="Heading1"/>
      </w:pPr>
      <w:r>
        <w:t>9. System architecture</w:t>
      </w:r>
    </w:p>
    <w:p>
      <w:pPr>
        <w:pStyle w:val="Heading2"/>
      </w:pPr>
      <w:r>
        <w:t>9.1 Architecture overview</w:t>
      </w:r>
    </w:p>
    <w:p>
      <w:pPr>
        <w:spacing w:before="80" w:after="160" w:line="252" w:lineRule="auto"/>
        <w:ind w:left="259" w:right="259"/>
        <w:shd w:fill="F2F4F7"/>
      </w:pPr>
      <w:r>
        <w:rPr>
          <w:rFonts w:ascii="Courier New" w:hAnsi="Courier New"/>
          <w:color w:val="1F4D78"/>
          <w:sz w:val="17"/>
        </w:rPr>
        <w:t>Authenticated user</w:t>
        <w:br/>
        <w:t xml:space="preserve">      |</w:t>
        <w:br/>
        <w:t xml:space="preserve">      v</w:t>
        <w:br/>
        <w:t>Vinext / Next application</w:t>
        <w:br/>
        <w:t xml:space="preserve">      |</w:t>
        <w:br/>
        <w:t xml:space="preserve">      +--&gt; React client interface</w:t>
        <w:br/>
        <w:t xml:space="preserve">      |      |</w:t>
        <w:br/>
        <w:t xml:space="preserve">      |      +--&gt; shared domain calculations and normalization</w:t>
        <w:br/>
        <w:t xml:space="preserve">      |      +--&gt; browser recovery cache</w:t>
        <w:br/>
        <w:t xml:space="preserve">      |</w:t>
        <w:br/>
        <w:t xml:space="preserve">      +--&gt; /api/ledger</w:t>
        <w:br/>
        <w:t xml:space="preserve">             |</w:t>
        <w:br/>
        <w:t xml:space="preserve">             +--&gt; optimistic version check</w:t>
        <w:br/>
        <w:t xml:space="preserve">             +--&gt; Cloudflare D1 ledger_state</w:t>
        <w:br/>
        <w:t xml:space="preserve">             +--&gt; Cloudflare D1 ledger_audit</w:t>
      </w:r>
    </w:p>
    <w:p>
      <w:pPr>
        <w:pStyle w:val="Heading2"/>
      </w:pPr>
      <w:r>
        <w:t>9.2 Technology stack</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Layer</w:t>
            </w:r>
          </w:p>
        </w:tc>
        <w:tc>
          <w:tcPr>
            <w:tcW w:type="dxa" w:w="666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Technology</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User interface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React 19</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Application framework</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Next 16 application model via vinext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Build tooling</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Vite 8 and vinext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Hosting runtime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Cloudflare Workers-compatible output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Cloud database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Cloudflare D1</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Schema tooling</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Drizzle ORM / Drizzle Kit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Authentication</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Sign in with ChatGPT headers supplied by the hosting environment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Styling</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Repository-native CSS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Automated tests</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Node built-in test runner</w:t>
            </w:r>
          </w:p>
        </w:tc>
      </w:tr>
    </w:tbl>
    <w:p>
      <w:pPr>
        <w:spacing w:before="0" w:after="40"/>
      </w:pPr>
    </w:p>
    <w:p>
      <w:pPr>
        <w:pStyle w:val="Heading2"/>
      </w:pPr>
      <w:r>
        <w:t>9.3 Front-end organization</w:t>
      </w:r>
    </w:p>
    <w:p>
      <w:pPr>
        <w:widowControl/>
      </w:pPr>
      <w:r>
        <w:rPr>
          <w:rFonts w:ascii="Courier New" w:hAnsi="Courier New"/>
          <w:color w:val="1F4D78"/>
          <w:sz w:val="21"/>
          <w:shd w:fill="F2F4F7"/>
        </w:rPr>
        <w:t>src/App.jsx</w:t>
      </w:r>
      <w:r>
        <w:rPr>
          <w:rFonts w:ascii="Calibri" w:hAnsi="Calibri"/>
          <w:b w:val="0"/>
          <w:i w:val="0"/>
          <w:color w:val="20262E"/>
          <w:sz w:val="22"/>
        </w:rPr>
        <w:t xml:space="preserve"> owns the common application state, navigation, toast messages, and mutation helpers. Domain modules are separated under </w:t>
      </w:r>
      <w:r>
        <w:rPr>
          <w:rFonts w:ascii="Courier New" w:hAnsi="Courier New"/>
          <w:color w:val="1F4D78"/>
          <w:sz w:val="21"/>
          <w:shd w:fill="F2F4F7"/>
        </w:rPr>
        <w:t>src/components</w:t>
      </w:r>
      <w:r>
        <w:rPr>
          <w:rFonts w:ascii="Calibri" w:hAnsi="Calibri"/>
          <w:b w:val="0"/>
          <w:i w:val="0"/>
          <w:color w:val="20262E"/>
          <w:sz w:val="22"/>
        </w:rPr>
        <w:t>.</w:t>
      </w:r>
    </w:p>
    <w:p>
      <w:pPr>
        <w:widowControl/>
      </w:pPr>
      <w:r>
        <w:rPr>
          <w:rFonts w:ascii="Courier New" w:hAnsi="Courier New"/>
          <w:color w:val="1F4D78"/>
          <w:sz w:val="21"/>
          <w:shd w:fill="F2F4F7"/>
        </w:rPr>
        <w:t>src/shared.js</w:t>
      </w:r>
      <w:r>
        <w:rPr>
          <w:rFonts w:ascii="Calibri" w:hAnsi="Calibri"/>
          <w:b w:val="0"/>
          <w:i w:val="0"/>
          <w:color w:val="20262E"/>
          <w:sz w:val="22"/>
        </w:rPr>
        <w:t xml:space="preserve"> is the central domain layer. It contains:</w:t>
      </w:r>
    </w:p>
    <w:p>
      <w:pPr>
        <w:spacing w:after="80" w:line="300" w:lineRule="auto"/>
        <w:numPr>
          <w:ilvl w:val="0"/>
          <w:numId w:val="10"/>
        </w:numPr>
      </w:pPr>
      <w:r>
        <w:rPr>
          <w:rFonts w:ascii="Calibri" w:hAnsi="Calibri"/>
          <w:b w:val="0"/>
          <w:i w:val="0"/>
          <w:color w:val="20262E"/>
          <w:sz w:val="22"/>
        </w:rPr>
        <w:t>schema normalization and migrations;</w:t>
      </w:r>
    </w:p>
    <w:p>
      <w:pPr>
        <w:spacing w:after="80" w:line="300" w:lineRule="auto"/>
        <w:numPr>
          <w:ilvl w:val="0"/>
          <w:numId w:val="10"/>
        </w:numPr>
      </w:pPr>
      <w:r>
        <w:rPr>
          <w:rFonts w:ascii="Calibri" w:hAnsi="Calibri"/>
          <w:b w:val="0"/>
          <w:i w:val="0"/>
          <w:color w:val="20262E"/>
          <w:sz w:val="22"/>
        </w:rPr>
        <w:t>storage loading and saving;</w:t>
      </w:r>
    </w:p>
    <w:p>
      <w:pPr>
        <w:spacing w:after="80" w:line="300" w:lineRule="auto"/>
        <w:numPr>
          <w:ilvl w:val="0"/>
          <w:numId w:val="10"/>
        </w:numPr>
      </w:pPr>
      <w:r>
        <w:rPr>
          <w:rFonts w:ascii="Calibri" w:hAnsi="Calibri"/>
          <w:b w:val="0"/>
          <w:i w:val="0"/>
          <w:color w:val="20262E"/>
          <w:sz w:val="22"/>
        </w:rPr>
        <w:t>currency and date functions;</w:t>
      </w:r>
    </w:p>
    <w:p>
      <w:pPr>
        <w:spacing w:after="80" w:line="300" w:lineRule="auto"/>
        <w:numPr>
          <w:ilvl w:val="0"/>
          <w:numId w:val="10"/>
        </w:numPr>
      </w:pPr>
      <w:r>
        <w:rPr>
          <w:rFonts w:ascii="Calibri" w:hAnsi="Calibri"/>
          <w:b w:val="0"/>
          <w:i w:val="0"/>
          <w:color w:val="20262E"/>
          <w:sz w:val="22"/>
        </w:rPr>
        <w:t>invoice, AR, AP, payment, estimate, cost, and milestone calculations;</w:t>
      </w:r>
    </w:p>
    <w:p>
      <w:pPr>
        <w:spacing w:after="80" w:line="300" w:lineRule="auto"/>
        <w:numPr>
          <w:ilvl w:val="0"/>
          <w:numId w:val="10"/>
        </w:numPr>
      </w:pPr>
      <w:r>
        <w:rPr>
          <w:rFonts w:ascii="Calibri" w:hAnsi="Calibri"/>
          <w:b w:val="0"/>
          <w:i w:val="0"/>
          <w:color w:val="20262E"/>
          <w:sz w:val="22"/>
        </w:rPr>
        <w:t>record-history guards;</w:t>
      </w:r>
    </w:p>
    <w:p>
      <w:pPr>
        <w:spacing w:after="80" w:line="300" w:lineRule="auto"/>
        <w:numPr>
          <w:ilvl w:val="0"/>
          <w:numId w:val="10"/>
        </w:numPr>
      </w:pPr>
      <w:r>
        <w:rPr>
          <w:rFonts w:ascii="Calibri" w:hAnsi="Calibri"/>
          <w:b w:val="0"/>
          <w:i w:val="0"/>
          <w:color w:val="20262E"/>
          <w:sz w:val="22"/>
        </w:rPr>
        <w:t>additive backup merge; and</w:t>
      </w:r>
    </w:p>
    <w:p>
      <w:pPr>
        <w:spacing w:after="80" w:line="300" w:lineRule="auto"/>
        <w:numPr>
          <w:ilvl w:val="0"/>
          <w:numId w:val="10"/>
        </w:numPr>
      </w:pPr>
      <w:r>
        <w:rPr>
          <w:rFonts w:ascii="Calibri" w:hAnsi="Calibri"/>
          <w:b w:val="0"/>
          <w:i w:val="0"/>
          <w:color w:val="20262E"/>
          <w:sz w:val="22"/>
        </w:rPr>
        <w:t>sample data.</w:t>
      </w:r>
    </w:p>
    <w:p>
      <w:pPr>
        <w:pStyle w:val="Heading2"/>
      </w:pPr>
      <w:r>
        <w:t>9.4 Persistence model</w:t>
      </w:r>
    </w:p>
    <w:p>
      <w:pPr>
        <w:widowControl/>
      </w:pPr>
      <w:r>
        <w:rPr>
          <w:rFonts w:ascii="Calibri" w:hAnsi="Calibri"/>
          <w:b w:val="0"/>
          <w:i w:val="0"/>
          <w:color w:val="20262E"/>
          <w:sz w:val="22"/>
        </w:rPr>
        <w:t xml:space="preserve">The production D1 database stores the current application ledger as JSON in one </w:t>
      </w:r>
      <w:r>
        <w:rPr>
          <w:rFonts w:ascii="Courier New" w:hAnsi="Courier New"/>
          <w:color w:val="1F4D78"/>
          <w:sz w:val="21"/>
          <w:shd w:fill="F2F4F7"/>
        </w:rPr>
        <w:t>ledger_state</w:t>
      </w:r>
      <w:r>
        <w:rPr>
          <w:rFonts w:ascii="Calibri" w:hAnsi="Calibri"/>
          <w:b w:val="0"/>
          <w:i w:val="0"/>
          <w:color w:val="20262E"/>
          <w:sz w:val="22"/>
        </w:rPr>
        <w:t xml:space="preserve"> row. Each successful update increments a version number. </w:t>
      </w:r>
      <w:r>
        <w:rPr>
          <w:rFonts w:ascii="Courier New" w:hAnsi="Courier New"/>
          <w:color w:val="1F4D78"/>
          <w:sz w:val="21"/>
          <w:shd w:fill="F2F4F7"/>
        </w:rPr>
        <w:t>ledger_audit</w:t>
      </w:r>
      <w:r>
        <w:rPr>
          <w:rFonts w:ascii="Calibri" w:hAnsi="Calibri"/>
          <w:b w:val="0"/>
          <w:i w:val="0"/>
          <w:color w:val="20262E"/>
          <w:sz w:val="22"/>
        </w:rPr>
        <w:t xml:space="preserve"> stores the version, action, actor email, and timestamp.</w:t>
      </w:r>
    </w:p>
    <w:p>
      <w:pPr>
        <w:widowControl/>
      </w:pPr>
      <w:r>
        <w:rPr>
          <w:rFonts w:ascii="Calibri" w:hAnsi="Calibri"/>
          <w:b w:val="0"/>
          <w:i w:val="0"/>
          <w:color w:val="20262E"/>
          <w:sz w:val="22"/>
        </w:rPr>
        <w:t xml:space="preserve">The detailed relational schema in </w:t>
      </w:r>
      <w:r>
        <w:rPr>
          <w:rFonts w:ascii="Courier New" w:hAnsi="Courier New"/>
          <w:color w:val="1F4D78"/>
          <w:sz w:val="21"/>
          <w:shd w:fill="F2F4F7"/>
        </w:rPr>
        <w:t>db/schema.sql</w:t>
      </w:r>
      <w:r>
        <w:rPr>
          <w:rFonts w:ascii="Calibri" w:hAnsi="Calibri"/>
          <w:b w:val="0"/>
          <w:i w:val="0"/>
          <w:color w:val="20262E"/>
          <w:sz w:val="22"/>
        </w:rPr>
        <w:t xml:space="preserve"> is a design blueprint for a future normalized persistence layer. It is not the current production storage model. The active deployment migration creates </w:t>
      </w:r>
      <w:r>
        <w:rPr>
          <w:rFonts w:ascii="Courier New" w:hAnsi="Courier New"/>
          <w:color w:val="1F4D78"/>
          <w:sz w:val="21"/>
          <w:shd w:fill="F2F4F7"/>
        </w:rPr>
        <w:t>ledger_state</w:t>
      </w:r>
      <w:r>
        <w:rPr>
          <w:rFonts w:ascii="Calibri" w:hAnsi="Calibri"/>
          <w:b w:val="0"/>
          <w:i w:val="0"/>
          <w:color w:val="20262E"/>
          <w:sz w:val="22"/>
        </w:rPr>
        <w:t xml:space="preserve"> and </w:t>
      </w:r>
      <w:r>
        <w:rPr>
          <w:rFonts w:ascii="Courier New" w:hAnsi="Courier New"/>
          <w:color w:val="1F4D78"/>
          <w:sz w:val="21"/>
          <w:shd w:fill="F2F4F7"/>
        </w:rPr>
        <w:t>ledger_audit</w:t>
      </w:r>
      <w:r>
        <w:rPr>
          <w:rFonts w:ascii="Calibri" w:hAnsi="Calibri"/>
          <w:b w:val="0"/>
          <w:i w:val="0"/>
          <w:color w:val="20262E"/>
          <w:sz w:val="22"/>
        </w:rPr>
        <w:t>.</w:t>
      </w:r>
    </w:p>
    <w:p>
      <w:pPr>
        <w:pStyle w:val="Heading2"/>
      </w:pPr>
      <w:r>
        <w:t>9.5 Synchronization</w:t>
      </w:r>
    </w:p>
    <w:p>
      <w:pPr>
        <w:widowControl/>
      </w:pPr>
      <w:r>
        <w:rPr>
          <w:rFonts w:ascii="Calibri" w:hAnsi="Calibri"/>
          <w:b w:val="0"/>
          <w:i w:val="0"/>
          <w:color w:val="20262E"/>
          <w:sz w:val="22"/>
        </w:rPr>
        <w:t xml:space="preserve">The client loads </w:t>
      </w:r>
      <w:r>
        <w:rPr>
          <w:rFonts w:ascii="Courier New" w:hAnsi="Courier New"/>
          <w:color w:val="1F4D78"/>
          <w:sz w:val="21"/>
          <w:shd w:fill="F2F4F7"/>
        </w:rPr>
        <w:t>/api/ledger</w:t>
      </w:r>
      <w:r>
        <w:rPr>
          <w:rFonts w:ascii="Calibri" w:hAnsi="Calibri"/>
          <w:b w:val="0"/>
          <w:i w:val="0"/>
          <w:color w:val="20262E"/>
          <w:sz w:val="22"/>
        </w:rPr>
        <w:t xml:space="preserve"> without caching. The client sends updates with its expected version.</w:t>
      </w:r>
    </w:p>
    <w:p>
      <w:pPr>
        <w:spacing w:after="80" w:line="300" w:lineRule="auto"/>
        <w:numPr>
          <w:ilvl w:val="0"/>
          <w:numId w:val="10"/>
        </w:numPr>
      </w:pPr>
      <w:r>
        <w:rPr>
          <w:rFonts w:ascii="Calibri" w:hAnsi="Calibri"/>
          <w:b w:val="0"/>
          <w:i w:val="0"/>
          <w:color w:val="20262E"/>
          <w:sz w:val="22"/>
        </w:rPr>
        <w:t>If the expected version matches, the server saves and increments the version.</w:t>
      </w:r>
    </w:p>
    <w:p>
      <w:pPr>
        <w:spacing w:after="80" w:line="300" w:lineRule="auto"/>
        <w:numPr>
          <w:ilvl w:val="0"/>
          <w:numId w:val="10"/>
        </w:numPr>
      </w:pPr>
      <w:r>
        <w:rPr>
          <w:rFonts w:ascii="Calibri" w:hAnsi="Calibri"/>
          <w:b w:val="0"/>
          <w:i w:val="0"/>
          <w:color w:val="20262E"/>
          <w:sz w:val="22"/>
        </w:rPr>
        <w:t>If another session already changed the ledger, the server returns HTTP 409.</w:t>
      </w:r>
    </w:p>
    <w:p>
      <w:pPr>
        <w:spacing w:after="80" w:line="300" w:lineRule="auto"/>
        <w:numPr>
          <w:ilvl w:val="0"/>
          <w:numId w:val="10"/>
        </w:numPr>
      </w:pPr>
      <w:r>
        <w:rPr>
          <w:rFonts w:ascii="Calibri" w:hAnsi="Calibri"/>
          <w:b w:val="0"/>
          <w:i w:val="0"/>
          <w:color w:val="20262E"/>
          <w:sz w:val="22"/>
        </w:rPr>
        <w:t>The client retains a local recovery copy and displays a sync warning.</w:t>
      </w:r>
    </w:p>
    <w:p>
      <w:pPr>
        <w:widowControl/>
      </w:pPr>
      <w:r>
        <w:rPr>
          <w:rFonts w:ascii="Calibri" w:hAnsi="Calibri"/>
          <w:b w:val="0"/>
          <w:i w:val="0"/>
          <w:color w:val="20262E"/>
          <w:sz w:val="22"/>
        </w:rPr>
        <w:t>The current version detects conflicts but does not provide an interactive record-by-record conflict-resolution screen.</w:t>
      </w:r>
    </w:p>
    <w:p>
      <w:pPr>
        <w:pStyle w:val="Heading1"/>
      </w:pPr>
      <w:r>
        <w:t>10. API reference</w:t>
      </w:r>
    </w:p>
    <w:p>
      <w:pPr>
        <w:pStyle w:val="Heading2"/>
      </w:pPr>
      <w:r>
        <w:t>10.1 GET `/api/ledger`</w:t>
      </w:r>
    </w:p>
    <w:p>
      <w:pPr>
        <w:widowControl/>
      </w:pPr>
      <w:r>
        <w:rPr>
          <w:rFonts w:ascii="Calibri" w:hAnsi="Calibri"/>
          <w:b w:val="0"/>
          <w:i w:val="0"/>
          <w:color w:val="20262E"/>
          <w:sz w:val="22"/>
        </w:rPr>
        <w:t>Purpose: retrieve the current ledger.</w:t>
      </w:r>
    </w:p>
    <w:p>
      <w:pPr>
        <w:widowControl/>
      </w:pPr>
      <w:r>
        <w:rPr>
          <w:rFonts w:ascii="Calibri" w:hAnsi="Calibri"/>
          <w:b w:val="0"/>
          <w:i w:val="0"/>
          <w:color w:val="20262E"/>
          <w:sz w:val="22"/>
        </w:rPr>
        <w:t>Successful response:</w:t>
      </w:r>
    </w:p>
    <w:p>
      <w:pPr>
        <w:spacing w:before="80" w:after="160" w:line="252" w:lineRule="auto"/>
        <w:ind w:left="259" w:right="259"/>
        <w:shd w:fill="F2F4F7"/>
      </w:pPr>
      <w:r>
        <w:rPr>
          <w:rFonts w:ascii="Courier New" w:hAnsi="Courier New"/>
          <w:color w:val="1F4D78"/>
          <w:sz w:val="17"/>
        </w:rPr>
        <w:t>{</w:t>
        <w:br/>
        <w:t xml:space="preserve">  "data": {},</w:t>
        <w:br/>
        <w:t xml:space="preserve">  "version": 3,</w:t>
        <w:br/>
        <w:t xml:space="preserve">  "updatedAt": "2026-07-28 10:00:00",</w:t>
        <w:br/>
        <w:t xml:space="preserve">  "updatedBy": "user@example.com"</w:t>
        <w:br/>
        <w:t>}</w:t>
      </w:r>
    </w:p>
    <w:p>
      <w:pPr>
        <w:widowControl/>
      </w:pPr>
      <w:r>
        <w:rPr>
          <w:rFonts w:ascii="Calibri" w:hAnsi="Calibri"/>
          <w:b w:val="0"/>
          <w:i w:val="0"/>
          <w:color w:val="20262E"/>
          <w:sz w:val="22"/>
        </w:rPr>
        <w:t>A new workspace returns:</w:t>
      </w:r>
    </w:p>
    <w:p>
      <w:pPr>
        <w:spacing w:before="80" w:after="160" w:line="252" w:lineRule="auto"/>
        <w:ind w:left="259" w:right="259"/>
        <w:shd w:fill="F2F4F7"/>
      </w:pPr>
      <w:r>
        <w:rPr>
          <w:rFonts w:ascii="Courier New" w:hAnsi="Courier New"/>
          <w:color w:val="1F4D78"/>
          <w:sz w:val="17"/>
        </w:rPr>
        <w:t>{</w:t>
        <w:br/>
        <w:t xml:space="preserve">  "data": null,</w:t>
        <w:br/>
        <w:t xml:space="preserve">  "version": 0</w:t>
        <w:br/>
        <w:t>}</w:t>
      </w:r>
    </w:p>
    <w:p>
      <w:pPr>
        <w:widowControl/>
      </w:pPr>
      <w:r>
        <w:rPr>
          <w:rFonts w:ascii="Calibri" w:hAnsi="Calibri"/>
          <w:b w:val="0"/>
          <w:i w:val="0"/>
          <w:color w:val="20262E"/>
          <w:sz w:val="22"/>
        </w:rPr>
        <w:t>Possible errors:</w:t>
      </w:r>
    </w:p>
    <w:p>
      <w:pPr>
        <w:spacing w:after="80" w:line="300" w:lineRule="auto"/>
        <w:numPr>
          <w:ilvl w:val="0"/>
          <w:numId w:val="10"/>
        </w:numPr>
      </w:pPr>
      <w:r>
        <w:rPr>
          <w:rFonts w:ascii="Courier New" w:hAnsi="Courier New"/>
          <w:color w:val="1F4D78"/>
          <w:sz w:val="21"/>
          <w:shd w:fill="F2F4F7"/>
        </w:rPr>
        <w:t>401 Authentication required</w:t>
      </w:r>
    </w:p>
    <w:p>
      <w:pPr>
        <w:spacing w:after="80" w:line="300" w:lineRule="auto"/>
        <w:numPr>
          <w:ilvl w:val="0"/>
          <w:numId w:val="10"/>
        </w:numPr>
      </w:pPr>
      <w:r>
        <w:rPr>
          <w:rFonts w:ascii="Courier New" w:hAnsi="Courier New"/>
          <w:color w:val="1F4D78"/>
          <w:sz w:val="21"/>
          <w:shd w:fill="F2F4F7"/>
        </w:rPr>
        <w:t>500</w:t>
      </w:r>
      <w:r>
        <w:rPr>
          <w:rFonts w:ascii="Calibri" w:hAnsi="Calibri"/>
          <w:b w:val="0"/>
          <w:i w:val="0"/>
          <w:color w:val="20262E"/>
          <w:sz w:val="22"/>
        </w:rPr>
        <w:t xml:space="preserve"> for an unexpected database or data-parsing failure</w:t>
      </w:r>
    </w:p>
    <w:p>
      <w:pPr>
        <w:pStyle w:val="Heading2"/>
      </w:pPr>
      <w:r>
        <w:t>10.2 PUT `/api/ledger`</w:t>
      </w:r>
    </w:p>
    <w:p>
      <w:pPr>
        <w:widowControl/>
      </w:pPr>
      <w:r>
        <w:rPr>
          <w:rFonts w:ascii="Calibri" w:hAnsi="Calibri"/>
          <w:b w:val="0"/>
          <w:i w:val="0"/>
          <w:color w:val="20262E"/>
          <w:sz w:val="22"/>
        </w:rPr>
        <w:t>Purpose: replace the current ledger document when the caller's version is current.</w:t>
      </w:r>
    </w:p>
    <w:p>
      <w:pPr>
        <w:widowControl/>
      </w:pPr>
      <w:r>
        <w:rPr>
          <w:rFonts w:ascii="Calibri" w:hAnsi="Calibri"/>
          <w:b w:val="0"/>
          <w:i w:val="0"/>
          <w:color w:val="20262E"/>
          <w:sz w:val="22"/>
        </w:rPr>
        <w:t>Request:</w:t>
      </w:r>
    </w:p>
    <w:p>
      <w:pPr>
        <w:spacing w:before="80" w:after="160" w:line="252" w:lineRule="auto"/>
        <w:ind w:left="259" w:right="259"/>
        <w:shd w:fill="F2F4F7"/>
      </w:pPr>
      <w:r>
        <w:rPr>
          <w:rFonts w:ascii="Courier New" w:hAnsi="Courier New"/>
          <w:color w:val="1F4D78"/>
          <w:sz w:val="17"/>
        </w:rPr>
        <w:t>{</w:t>
        <w:br/>
        <w:t xml:space="preserve">  "data": {},</w:t>
        <w:br/>
        <w:t xml:space="preserve">  "expectedVersion": 3</w:t>
        <w:br/>
        <w:t>}</w:t>
      </w:r>
    </w:p>
    <w:p>
      <w:pPr>
        <w:widowControl/>
      </w:pPr>
      <w:r>
        <w:rPr>
          <w:rFonts w:ascii="Calibri" w:hAnsi="Calibri"/>
          <w:b w:val="0"/>
          <w:i w:val="0"/>
          <w:color w:val="20262E"/>
          <w:sz w:val="22"/>
        </w:rPr>
        <w:t>Successful response:</w:t>
      </w:r>
    </w:p>
    <w:p>
      <w:pPr>
        <w:spacing w:before="80" w:after="160" w:line="252" w:lineRule="auto"/>
        <w:ind w:left="259" w:right="259"/>
        <w:shd w:fill="F2F4F7"/>
      </w:pPr>
      <w:r>
        <w:rPr>
          <w:rFonts w:ascii="Courier New" w:hAnsi="Courier New"/>
          <w:color w:val="1F4D78"/>
          <w:sz w:val="17"/>
        </w:rPr>
        <w:t>{</w:t>
        <w:br/>
        <w:t xml:space="preserve">  "ok": true,</w:t>
        <w:br/>
        <w:t xml:space="preserve">  "version": 4</w:t>
        <w:br/>
        <w:t>}</w:t>
      </w:r>
    </w:p>
    <w:p>
      <w:pPr>
        <w:widowControl/>
      </w:pPr>
      <w:r>
        <w:rPr>
          <w:rFonts w:ascii="Calibri" w:hAnsi="Calibri"/>
          <w:b w:val="0"/>
          <w:i w:val="0"/>
          <w:color w:val="20262E"/>
          <w:sz w:val="22"/>
        </w:rPr>
        <w:t>Possible errors:</w:t>
      </w:r>
    </w:p>
    <w:p>
      <w:pPr>
        <w:spacing w:after="80" w:line="300" w:lineRule="auto"/>
        <w:numPr>
          <w:ilvl w:val="0"/>
          <w:numId w:val="10"/>
        </w:numPr>
      </w:pPr>
      <w:r>
        <w:rPr>
          <w:rFonts w:ascii="Courier New" w:hAnsi="Courier New"/>
          <w:color w:val="1F4D78"/>
          <w:sz w:val="21"/>
          <w:shd w:fill="F2F4F7"/>
        </w:rPr>
        <w:t>400 Invalid ledger payload</w:t>
      </w:r>
    </w:p>
    <w:p>
      <w:pPr>
        <w:spacing w:after="80" w:line="300" w:lineRule="auto"/>
        <w:numPr>
          <w:ilvl w:val="0"/>
          <w:numId w:val="10"/>
        </w:numPr>
      </w:pPr>
      <w:r>
        <w:rPr>
          <w:rFonts w:ascii="Courier New" w:hAnsi="Courier New"/>
          <w:color w:val="1F4D78"/>
          <w:sz w:val="21"/>
          <w:shd w:fill="F2F4F7"/>
        </w:rPr>
        <w:t>401 Authentication required</w:t>
      </w:r>
    </w:p>
    <w:p>
      <w:pPr>
        <w:spacing w:after="80" w:line="300" w:lineRule="auto"/>
        <w:numPr>
          <w:ilvl w:val="0"/>
          <w:numId w:val="10"/>
        </w:numPr>
      </w:pPr>
      <w:r>
        <w:rPr>
          <w:rFonts w:ascii="Courier New" w:hAnsi="Courier New"/>
          <w:color w:val="1F4D78"/>
          <w:sz w:val="21"/>
          <w:shd w:fill="F2F4F7"/>
        </w:rPr>
        <w:t>409 Ledger changed in another session</w:t>
      </w:r>
    </w:p>
    <w:p>
      <w:pPr>
        <w:spacing w:after="80" w:line="300" w:lineRule="auto"/>
        <w:numPr>
          <w:ilvl w:val="0"/>
          <w:numId w:val="10"/>
        </w:numPr>
      </w:pPr>
      <w:r>
        <w:rPr>
          <w:rFonts w:ascii="Courier New" w:hAnsi="Courier New"/>
          <w:color w:val="1F4D78"/>
          <w:sz w:val="21"/>
          <w:shd w:fill="F2F4F7"/>
        </w:rPr>
        <w:t>500</w:t>
      </w:r>
      <w:r>
        <w:rPr>
          <w:rFonts w:ascii="Calibri" w:hAnsi="Calibri"/>
          <w:b w:val="0"/>
          <w:i w:val="0"/>
          <w:color w:val="20262E"/>
          <w:sz w:val="22"/>
        </w:rPr>
        <w:t xml:space="preserve"> for an unexpected database failure</w:t>
      </w:r>
    </w:p>
    <w:p>
      <w:pPr>
        <w:pStyle w:val="Heading1"/>
      </w:pPr>
      <w:r>
        <w:t>11. Logical data model</w:t>
      </w:r>
    </w:p>
    <w:p>
      <w:pPr>
        <w:widowControl/>
      </w:pPr>
      <w:r>
        <w:rPr>
          <w:rFonts w:ascii="Calibri" w:hAnsi="Calibri"/>
          <w:b w:val="0"/>
          <w:i w:val="0"/>
          <w:color w:val="20262E"/>
          <w:sz w:val="22"/>
        </w:rPr>
        <w:t>The client ledger contains the following primary collections.</w:t>
      </w:r>
    </w:p>
    <w:tbl>
      <w:tblPr>
        <w:tblStyle w:val="TableGrid"/>
        <w:tblW w:type="dxa" w:w="9360"/>
        <w:jc w:val="left"/>
        <w:tblLayout w:type="fixed"/>
        <w:tblLook w:firstColumn="1" w:firstRow="1" w:lastColumn="0" w:lastRow="0" w:noHBand="0" w:noVBand="1" w:val="04A0"/>
        <w:tblInd w:w="120" w:type="dxa"/>
      </w:tblPr>
      <w:tblGrid>
        <w:gridCol w:w="2200"/>
        <w:gridCol w:w="3380"/>
        <w:gridCol w:w="3780"/>
      </w:tblGrid>
      <w:tr>
        <w:trPr>
          <w:tblHeader w:val="true"/>
          <w:cantSplit/>
        </w:trPr>
        <w:tc>
          <w:tcPr>
            <w:tcW w:type="dxa" w:w="220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Collection</w:t>
            </w:r>
          </w:p>
        </w:tc>
        <w:tc>
          <w:tcPr>
            <w:tcW w:type="dxa" w:w="338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Purpose</w:t>
            </w:r>
          </w:p>
        </w:tc>
        <w:tc>
          <w:tcPr>
            <w:tcW w:type="dxa" w:w="378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Important relationships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 client, budget, and commercial terms</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Parent for estimates, requests, invoices, expenses, milestones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vendors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Suppliers and contractors</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Parent for vendor bills, expenses, and payments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supervisors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Site owners and request submitters</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Referenced by requests, petty expenses, milestones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estimates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Rough estimates and detailed BOQs</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project; contains estimate lines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materialRequests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Site demand and approval flow</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project and supervisor; may feed bill lines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vendorBills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Supplier invoice header</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vendor; contains project allocation lines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expenses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Project/vendor cost and payable unit</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May be generated from vendor bill line</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pettyExpenses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Small expense approval and reimbursement</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project and supervisor</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milestones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Delivery plan and blocker tracking</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project; optionally supervisor-owned</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invoices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Client billing document</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project; contains invoice items</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paymentsReceived</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Client cash record</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Optionally linked to project and invoice</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paymentsMade</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Vendor cash record</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Optionally linked to project, vendor, and expense; may share batch</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collectionActivities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Follow-up history</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Belongs to invoice and project</w:t>
            </w:r>
          </w:p>
        </w:tc>
      </w:tr>
      <w:tr>
        <w:trPr>
          <w:cantSplit/>
        </w:trPr>
        <w:tc>
          <w:tcPr>
            <w:tcW w:type="dxa" w:w="22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settings</w:t>
            </w:r>
          </w:p>
        </w:tc>
        <w:tc>
          <w:tcPr>
            <w:tcW w:type="dxa" w:w="33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Studio identity and defaults</w:t>
            </w:r>
          </w:p>
        </w:tc>
        <w:tc>
          <w:tcPr>
            <w:tcW w:type="dxa" w:w="378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Single settings object</w:t>
            </w:r>
          </w:p>
        </w:tc>
      </w:tr>
    </w:tbl>
    <w:p>
      <w:pPr>
        <w:spacing w:before="0" w:after="40"/>
      </w:pPr>
    </w:p>
    <w:p>
      <w:pPr>
        <w:pStyle w:val="Heading2"/>
      </w:pPr>
      <w:r>
        <w:t>11.1 Relationship summary</w:t>
      </w:r>
    </w:p>
    <w:p>
      <w:pPr>
        <w:spacing w:before="80" w:after="160" w:line="252" w:lineRule="auto"/>
        <w:ind w:left="259" w:right="259"/>
        <w:shd w:fill="F2F4F7"/>
      </w:pPr>
      <w:r>
        <w:rPr>
          <w:rFonts w:ascii="Courier New" w:hAnsi="Courier New"/>
          <w:color w:val="1F4D78"/>
          <w:sz w:val="17"/>
        </w:rPr>
        <w:t>Project</w:t>
        <w:br/>
        <w:t xml:space="preserve">  +-- Estimates</w:t>
        <w:br/>
        <w:t xml:space="preserve">  +-- Material requests ---- optional link ---- Vendor bill line</w:t>
        <w:br/>
        <w:t xml:space="preserve">  +-- Petty expenses</w:t>
        <w:br/>
        <w:t xml:space="preserve">  +-- Milestones</w:t>
        <w:br/>
        <w:t xml:space="preserve">  +-- Invoices ------------ Payments received</w:t>
        <w:br/>
        <w:t xml:space="preserve">  +-- Expenses ------------ Payments made</w:t>
        <w:br/>
        <w:t xml:space="preserve">  +-- Collection activities</w:t>
        <w:br/>
        <w:br/>
        <w:t>Vendor</w:t>
        <w:br/>
        <w:t xml:space="preserve">  +-- Vendor bills</w:t>
        <w:br/>
        <w:t xml:space="preserve">        +-- Vendor bill lines</w:t>
        <w:br/>
        <w:t xml:space="preserve">              +-- Project</w:t>
        <w:br/>
        <w:t xml:space="preserve">              +-- Generated expense</w:t>
        <w:br/>
        <w:t xml:space="preserve">              +-- Optional material request</w:t>
      </w:r>
    </w:p>
    <w:p>
      <w:pPr>
        <w:pStyle w:val="Heading1"/>
      </w:pPr>
      <w:r>
        <w:t>12. Authentication and security</w:t>
      </w:r>
    </w:p>
    <w:p>
      <w:pPr>
        <w:pStyle w:val="Heading2"/>
      </w:pPr>
      <w:r>
        <w:t>12.1 Authentication</w:t>
      </w:r>
    </w:p>
    <w:p>
      <w:pPr>
        <w:widowControl/>
      </w:pPr>
      <w:r>
        <w:rPr>
          <w:rFonts w:ascii="Calibri" w:hAnsi="Calibri"/>
          <w:b w:val="0"/>
          <w:i w:val="0"/>
          <w:color w:val="20262E"/>
          <w:sz w:val="22"/>
        </w:rPr>
        <w:t>Production requests rely on authenticated-user headers supplied by the hosting environment. Unauthenticated production users are redirected to Sign in with ChatGPT. Local development uses a clearly identified local-preview user.</w:t>
      </w:r>
    </w:p>
    <w:p>
      <w:pPr>
        <w:pStyle w:val="Heading2"/>
      </w:pPr>
      <w:r>
        <w:t>12.2 Authorization</w:t>
      </w:r>
    </w:p>
    <w:p>
      <w:pPr>
        <w:widowControl/>
      </w:pPr>
      <w:r>
        <w:rPr>
          <w:rFonts w:ascii="Calibri" w:hAnsi="Calibri"/>
          <w:b w:val="0"/>
          <w:i w:val="0"/>
          <w:color w:val="20262E"/>
          <w:sz w:val="22"/>
        </w:rPr>
        <w:t>Authorization is site-level in the current version. The application does not enforce separate owner, supervisor, procurement, or finance permissions.</w:t>
      </w:r>
    </w:p>
    <w:p>
      <w:pPr>
        <w:pStyle w:val="Heading2"/>
      </w:pPr>
      <w:r>
        <w:t>12.3 Data protection controls</w:t>
      </w:r>
    </w:p>
    <w:p>
      <w:pPr>
        <w:widowControl/>
      </w:pPr>
      <w:r>
        <w:rPr>
          <w:rFonts w:ascii="Calibri" w:hAnsi="Calibri"/>
          <w:b w:val="0"/>
          <w:i w:val="0"/>
          <w:color w:val="20262E"/>
          <w:sz w:val="22"/>
        </w:rPr>
        <w:t>Implemented controls include:</w:t>
      </w:r>
    </w:p>
    <w:p>
      <w:pPr>
        <w:spacing w:after="80" w:line="300" w:lineRule="auto"/>
        <w:numPr>
          <w:ilvl w:val="0"/>
          <w:numId w:val="10"/>
        </w:numPr>
      </w:pPr>
      <w:r>
        <w:rPr>
          <w:rFonts w:ascii="Calibri" w:hAnsi="Calibri"/>
          <w:b w:val="0"/>
          <w:i w:val="0"/>
          <w:color w:val="20262E"/>
          <w:sz w:val="22"/>
        </w:rPr>
        <w:t>authenticated production access;</w:t>
      </w:r>
    </w:p>
    <w:p>
      <w:pPr>
        <w:spacing w:after="80" w:line="300" w:lineRule="auto"/>
        <w:numPr>
          <w:ilvl w:val="0"/>
          <w:numId w:val="10"/>
        </w:numPr>
      </w:pPr>
      <w:r>
        <w:rPr>
          <w:rFonts w:ascii="Calibri" w:hAnsi="Calibri"/>
          <w:b w:val="0"/>
          <w:i w:val="0"/>
          <w:color w:val="20262E"/>
          <w:sz w:val="22"/>
        </w:rPr>
        <w:t>private hosting capability;</w:t>
      </w:r>
    </w:p>
    <w:p>
      <w:pPr>
        <w:spacing w:after="80" w:line="300" w:lineRule="auto"/>
        <w:numPr>
          <w:ilvl w:val="0"/>
          <w:numId w:val="10"/>
        </w:numPr>
      </w:pPr>
      <w:r>
        <w:rPr>
          <w:rFonts w:ascii="Calibri" w:hAnsi="Calibri"/>
          <w:b w:val="0"/>
          <w:i w:val="0"/>
          <w:color w:val="20262E"/>
          <w:sz w:val="22"/>
        </w:rPr>
        <w:t>D1 database binding managed by the hosting platform;</w:t>
      </w:r>
    </w:p>
    <w:p>
      <w:pPr>
        <w:spacing w:after="80" w:line="300" w:lineRule="auto"/>
        <w:numPr>
          <w:ilvl w:val="0"/>
          <w:numId w:val="10"/>
        </w:numPr>
      </w:pPr>
      <w:r>
        <w:rPr>
          <w:rFonts w:ascii="Calibri" w:hAnsi="Calibri"/>
          <w:b w:val="0"/>
          <w:i w:val="0"/>
          <w:color w:val="20262E"/>
          <w:sz w:val="22"/>
        </w:rPr>
        <w:t>optimistic version checks;</w:t>
      </w:r>
    </w:p>
    <w:p>
      <w:pPr>
        <w:spacing w:after="80" w:line="300" w:lineRule="auto"/>
        <w:numPr>
          <w:ilvl w:val="0"/>
          <w:numId w:val="10"/>
        </w:numPr>
      </w:pPr>
      <w:r>
        <w:rPr>
          <w:rFonts w:ascii="Calibri" w:hAnsi="Calibri"/>
          <w:b w:val="0"/>
          <w:i w:val="0"/>
          <w:color w:val="20262E"/>
          <w:sz w:val="22"/>
        </w:rPr>
        <w:t>financial record locking and reversal;</w:t>
      </w:r>
    </w:p>
    <w:p>
      <w:pPr>
        <w:spacing w:after="80" w:line="300" w:lineRule="auto"/>
        <w:numPr>
          <w:ilvl w:val="0"/>
          <w:numId w:val="10"/>
        </w:numPr>
      </w:pPr>
      <w:r>
        <w:rPr>
          <w:rFonts w:ascii="Calibri" w:hAnsi="Calibri"/>
          <w:b w:val="0"/>
          <w:i w:val="0"/>
          <w:color w:val="20262E"/>
          <w:sz w:val="22"/>
        </w:rPr>
        <w:t>local recovery cache;</w:t>
      </w:r>
    </w:p>
    <w:p>
      <w:pPr>
        <w:spacing w:after="80" w:line="300" w:lineRule="auto"/>
        <w:numPr>
          <w:ilvl w:val="0"/>
          <w:numId w:val="10"/>
        </w:numPr>
      </w:pPr>
      <w:r>
        <w:rPr>
          <w:rFonts w:ascii="Calibri" w:hAnsi="Calibri"/>
          <w:b w:val="0"/>
          <w:i w:val="0"/>
          <w:color w:val="20262E"/>
          <w:sz w:val="22"/>
        </w:rPr>
        <w:t>additive backup merge; and</w:t>
      </w:r>
    </w:p>
    <w:p>
      <w:pPr>
        <w:spacing w:after="80" w:line="300" w:lineRule="auto"/>
        <w:numPr>
          <w:ilvl w:val="0"/>
          <w:numId w:val="10"/>
        </w:numPr>
      </w:pPr>
      <w:r>
        <w:rPr>
          <w:rFonts w:ascii="Calibri" w:hAnsi="Calibri"/>
          <w:b w:val="0"/>
          <w:i w:val="0"/>
          <w:color w:val="20262E"/>
          <w:sz w:val="22"/>
        </w:rPr>
        <w:t>actor email in version audit rows.</w:t>
      </w:r>
    </w:p>
    <w:p>
      <w:pPr>
        <w:pStyle w:val="Heading2"/>
      </w:pPr>
      <w:r>
        <w:t>12.4 Security recommendations</w:t>
      </w:r>
    </w:p>
    <w:p>
      <w:pPr>
        <w:widowControl/>
      </w:pPr>
      <w:r>
        <w:rPr>
          <w:rFonts w:ascii="Calibri" w:hAnsi="Calibri"/>
          <w:b w:val="0"/>
          <w:i w:val="0"/>
          <w:color w:val="20262E"/>
          <w:sz w:val="22"/>
        </w:rPr>
        <w:t>Before broad production rollout:</w:t>
      </w:r>
    </w:p>
    <w:p>
      <w:pPr>
        <w:spacing w:after="80" w:line="300" w:lineRule="auto"/>
        <w:numPr>
          <w:ilvl w:val="0"/>
          <w:numId w:val="22"/>
        </w:numPr>
      </w:pPr>
      <w:r>
        <w:rPr>
          <w:rFonts w:ascii="Calibri" w:hAnsi="Calibri"/>
          <w:b w:val="0"/>
          <w:i w:val="0"/>
          <w:color w:val="20262E"/>
          <w:sz w:val="22"/>
        </w:rPr>
        <w:t>keep the site owner-only or use a minimal allowlist;</w:t>
      </w:r>
    </w:p>
    <w:p>
      <w:pPr>
        <w:spacing w:after="80" w:line="300" w:lineRule="auto"/>
        <w:numPr>
          <w:ilvl w:val="0"/>
          <w:numId w:val="22"/>
        </w:numPr>
      </w:pPr>
      <w:r>
        <w:rPr>
          <w:rFonts w:ascii="Calibri" w:hAnsi="Calibri"/>
          <w:b w:val="0"/>
          <w:i w:val="0"/>
          <w:color w:val="20262E"/>
          <w:sz w:val="22"/>
        </w:rPr>
        <w:t>implement role-based authorization;</w:t>
      </w:r>
    </w:p>
    <w:p>
      <w:pPr>
        <w:spacing w:after="80" w:line="300" w:lineRule="auto"/>
        <w:numPr>
          <w:ilvl w:val="0"/>
          <w:numId w:val="22"/>
        </w:numPr>
      </w:pPr>
      <w:r>
        <w:rPr>
          <w:rFonts w:ascii="Calibri" w:hAnsi="Calibri"/>
          <w:b w:val="0"/>
          <w:i w:val="0"/>
          <w:color w:val="20262E"/>
          <w:sz w:val="22"/>
        </w:rPr>
        <w:t>validate and limit API payload size;</w:t>
      </w:r>
    </w:p>
    <w:p>
      <w:pPr>
        <w:spacing w:after="80" w:line="300" w:lineRule="auto"/>
        <w:numPr>
          <w:ilvl w:val="0"/>
          <w:numId w:val="22"/>
        </w:numPr>
      </w:pPr>
      <w:r>
        <w:rPr>
          <w:rFonts w:ascii="Calibri" w:hAnsi="Calibri"/>
          <w:b w:val="0"/>
          <w:i w:val="0"/>
          <w:color w:val="20262E"/>
          <w:sz w:val="22"/>
        </w:rPr>
        <w:t>add request-level schema validation;</w:t>
      </w:r>
    </w:p>
    <w:p>
      <w:pPr>
        <w:spacing w:after="80" w:line="300" w:lineRule="auto"/>
        <w:numPr>
          <w:ilvl w:val="0"/>
          <w:numId w:val="22"/>
        </w:numPr>
      </w:pPr>
      <w:r>
        <w:rPr>
          <w:rFonts w:ascii="Calibri" w:hAnsi="Calibri"/>
          <w:b w:val="0"/>
          <w:i w:val="0"/>
          <w:color w:val="20262E"/>
          <w:sz w:val="22"/>
        </w:rPr>
        <w:t>add field-level audit diffs or immutable event storage;</w:t>
      </w:r>
    </w:p>
    <w:p>
      <w:pPr>
        <w:spacing w:after="80" w:line="300" w:lineRule="auto"/>
        <w:numPr>
          <w:ilvl w:val="0"/>
          <w:numId w:val="22"/>
        </w:numPr>
      </w:pPr>
      <w:r>
        <w:rPr>
          <w:rFonts w:ascii="Calibri" w:hAnsi="Calibri"/>
          <w:b w:val="0"/>
          <w:i w:val="0"/>
          <w:color w:val="20262E"/>
          <w:sz w:val="22"/>
        </w:rPr>
        <w:t>define retention and backup policies;</w:t>
      </w:r>
    </w:p>
    <w:p>
      <w:pPr>
        <w:spacing w:after="80" w:line="300" w:lineRule="auto"/>
        <w:numPr>
          <w:ilvl w:val="0"/>
          <w:numId w:val="22"/>
        </w:numPr>
      </w:pPr>
      <w:r>
        <w:rPr>
          <w:rFonts w:ascii="Calibri" w:hAnsi="Calibri"/>
          <w:b w:val="0"/>
          <w:i w:val="0"/>
          <w:color w:val="20262E"/>
          <w:sz w:val="22"/>
        </w:rPr>
        <w:t>add monitoring and alerting;</w:t>
      </w:r>
    </w:p>
    <w:p>
      <w:pPr>
        <w:spacing w:after="80" w:line="300" w:lineRule="auto"/>
        <w:numPr>
          <w:ilvl w:val="0"/>
          <w:numId w:val="22"/>
        </w:numPr>
      </w:pPr>
      <w:r>
        <w:rPr>
          <w:rFonts w:ascii="Calibri" w:hAnsi="Calibri"/>
          <w:b w:val="0"/>
          <w:i w:val="0"/>
          <w:color w:val="20262E"/>
          <w:sz w:val="22"/>
        </w:rPr>
        <w:t>conduct dependency and security scanning with explicit approval;</w:t>
      </w:r>
    </w:p>
    <w:p>
      <w:pPr>
        <w:spacing w:after="80" w:line="300" w:lineRule="auto"/>
        <w:numPr>
          <w:ilvl w:val="0"/>
          <w:numId w:val="22"/>
        </w:numPr>
      </w:pPr>
      <w:r>
        <w:rPr>
          <w:rFonts w:ascii="Calibri" w:hAnsi="Calibri"/>
          <w:b w:val="0"/>
          <w:i w:val="0"/>
          <w:color w:val="20262E"/>
          <w:sz w:val="22"/>
        </w:rPr>
        <w:t>test restoration from backups; and</w:t>
      </w:r>
    </w:p>
    <w:p>
      <w:pPr>
        <w:spacing w:after="80" w:line="300" w:lineRule="auto"/>
        <w:numPr>
          <w:ilvl w:val="0"/>
          <w:numId w:val="22"/>
        </w:numPr>
      </w:pPr>
      <w:r>
        <w:rPr>
          <w:rFonts w:ascii="Calibri" w:hAnsi="Calibri"/>
          <w:b w:val="0"/>
          <w:i w:val="0"/>
          <w:color w:val="20262E"/>
          <w:sz w:val="22"/>
        </w:rPr>
        <w:t>conduct an external security review before storing sensitive client or vendor documents.</w:t>
      </w:r>
    </w:p>
    <w:p>
      <w:pPr>
        <w:pStyle w:val="Heading1"/>
      </w:pPr>
      <w:r>
        <w:t>13. Local development</w:t>
      </w:r>
    </w:p>
    <w:p>
      <w:pPr>
        <w:pStyle w:val="Heading2"/>
      </w:pPr>
      <w:r>
        <w:t>13.1 Requirements</w:t>
      </w:r>
    </w:p>
    <w:p>
      <w:pPr>
        <w:spacing w:after="80" w:line="300" w:lineRule="auto"/>
        <w:numPr>
          <w:ilvl w:val="0"/>
          <w:numId w:val="10"/>
        </w:numPr>
      </w:pPr>
      <w:r>
        <w:rPr>
          <w:rFonts w:ascii="Calibri" w:hAnsi="Calibri"/>
          <w:b w:val="0"/>
          <w:i w:val="0"/>
          <w:color w:val="20262E"/>
          <w:sz w:val="22"/>
        </w:rPr>
        <w:t>Node.js 22.13 or later</w:t>
      </w:r>
    </w:p>
    <w:p>
      <w:pPr>
        <w:spacing w:after="80" w:line="300" w:lineRule="auto"/>
        <w:numPr>
          <w:ilvl w:val="0"/>
          <w:numId w:val="10"/>
        </w:numPr>
      </w:pPr>
      <w:r>
        <w:rPr>
          <w:rFonts w:ascii="Calibri" w:hAnsi="Calibri"/>
          <w:b w:val="0"/>
          <w:i w:val="0"/>
          <w:color w:val="20262E"/>
          <w:sz w:val="22"/>
        </w:rPr>
        <w:t>npm</w:t>
      </w:r>
    </w:p>
    <w:p>
      <w:pPr>
        <w:pStyle w:val="Heading2"/>
      </w:pPr>
      <w:r>
        <w:t>13.2 Install and run</w:t>
      </w:r>
    </w:p>
    <w:p>
      <w:pPr>
        <w:spacing w:before="80" w:after="160" w:line="252" w:lineRule="auto"/>
        <w:ind w:left="259" w:right="259"/>
        <w:shd w:fill="F2F4F7"/>
      </w:pPr>
      <w:r>
        <w:rPr>
          <w:rFonts w:ascii="Courier New" w:hAnsi="Courier New"/>
          <w:color w:val="1F4D78"/>
          <w:sz w:val="17"/>
        </w:rPr>
        <w:t>npm install</w:t>
        <w:br/>
        <w:t>npm run dev</w:t>
      </w:r>
    </w:p>
    <w:p>
      <w:pPr>
        <w:widowControl/>
      </w:pPr>
      <w:r>
        <w:rPr>
          <w:rFonts w:ascii="Calibri" w:hAnsi="Calibri"/>
          <w:b w:val="0"/>
          <w:i w:val="0"/>
          <w:color w:val="20262E"/>
          <w:sz w:val="22"/>
        </w:rPr>
        <w:t>The development server normally opens at:</w:t>
      </w:r>
    </w:p>
    <w:p>
      <w:pPr>
        <w:spacing w:before="80" w:after="160" w:line="252" w:lineRule="auto"/>
        <w:ind w:left="259" w:right="259"/>
        <w:shd w:fill="F2F4F7"/>
      </w:pPr>
      <w:r>
        <w:rPr>
          <w:rFonts w:ascii="Courier New" w:hAnsi="Courier New"/>
          <w:color w:val="1F4D78"/>
          <w:sz w:val="17"/>
        </w:rPr>
        <w:t>http://localhost:3000/</w:t>
      </w:r>
    </w:p>
    <w:p>
      <w:pPr>
        <w:widowControl/>
      </w:pPr>
      <w:r>
        <w:rPr>
          <w:rFonts w:ascii="Calibri" w:hAnsi="Calibri"/>
          <w:b w:val="0"/>
          <w:i w:val="0"/>
          <w:color w:val="20262E"/>
          <w:sz w:val="22"/>
        </w:rPr>
        <w:t>Local development uses a local D1-compatible database and the local-preview identity.</w:t>
      </w:r>
    </w:p>
    <w:p>
      <w:pPr>
        <w:pStyle w:val="Heading2"/>
      </w:pPr>
      <w:r>
        <w:t>13.3 Automated tests</w:t>
      </w:r>
    </w:p>
    <w:p>
      <w:pPr>
        <w:spacing w:before="80" w:after="160" w:line="252" w:lineRule="auto"/>
        <w:ind w:left="259" w:right="259"/>
        <w:shd w:fill="F2F4F7"/>
      </w:pPr>
      <w:r>
        <w:rPr>
          <w:rFonts w:ascii="Courier New" w:hAnsi="Courier New"/>
          <w:color w:val="1F4D78"/>
          <w:sz w:val="17"/>
        </w:rPr>
        <w:t>npm test</w:t>
      </w:r>
    </w:p>
    <w:p>
      <w:pPr>
        <w:pStyle w:val="Heading2"/>
      </w:pPr>
      <w:r>
        <w:t>13.4 Production build</w:t>
      </w:r>
    </w:p>
    <w:p>
      <w:pPr>
        <w:spacing w:before="80" w:after="160" w:line="252" w:lineRule="auto"/>
        <w:ind w:left="259" w:right="259"/>
        <w:shd w:fill="F2F4F7"/>
      </w:pPr>
      <w:r>
        <w:rPr>
          <w:rFonts w:ascii="Courier New" w:hAnsi="Courier New"/>
          <w:color w:val="1F4D78"/>
          <w:sz w:val="17"/>
        </w:rPr>
        <w:t>npm run build</w:t>
      </w:r>
    </w:p>
    <w:p>
      <w:pPr>
        <w:widowControl/>
      </w:pPr>
      <w:r>
        <w:rPr>
          <w:rFonts w:ascii="Calibri" w:hAnsi="Calibri"/>
          <w:b w:val="0"/>
          <w:i w:val="0"/>
          <w:color w:val="20262E"/>
          <w:sz w:val="22"/>
        </w:rPr>
        <w:t xml:space="preserve">The build produces a Cloudflare Workers-compatible application under </w:t>
      </w:r>
      <w:r>
        <w:rPr>
          <w:rFonts w:ascii="Courier New" w:hAnsi="Courier New"/>
          <w:color w:val="1F4D78"/>
          <w:sz w:val="21"/>
          <w:shd w:fill="F2F4F7"/>
        </w:rPr>
        <w:t>dist</w:t>
      </w:r>
      <w:r>
        <w:rPr>
          <w:rFonts w:ascii="Calibri" w:hAnsi="Calibri"/>
          <w:b w:val="0"/>
          <w:i w:val="0"/>
          <w:color w:val="20262E"/>
          <w:sz w:val="22"/>
        </w:rPr>
        <w:t>, including server output, client assets, hosting metadata, and D1 migrations.</w:t>
      </w:r>
    </w:p>
    <w:p>
      <w:pPr>
        <w:pStyle w:val="Heading1"/>
      </w:pPr>
      <w:r>
        <w:t>14. Testing strategy and current coverage</w:t>
      </w:r>
    </w:p>
    <w:p>
      <w:pPr>
        <w:widowControl/>
      </w:pPr>
      <w:r>
        <w:rPr>
          <w:rFonts w:ascii="Calibri" w:hAnsi="Calibri"/>
          <w:b w:val="0"/>
          <w:i w:val="0"/>
          <w:color w:val="20262E"/>
          <w:sz w:val="22"/>
        </w:rPr>
        <w:t>The automated domain tests cover:</w:t>
      </w:r>
    </w:p>
    <w:p>
      <w:pPr>
        <w:spacing w:after="80" w:line="300" w:lineRule="auto"/>
        <w:numPr>
          <w:ilvl w:val="0"/>
          <w:numId w:val="10"/>
        </w:numPr>
      </w:pPr>
      <w:r>
        <w:rPr>
          <w:rFonts w:ascii="Calibri" w:hAnsi="Calibri"/>
          <w:b w:val="0"/>
          <w:i w:val="0"/>
          <w:color w:val="20262E"/>
          <w:sz w:val="22"/>
        </w:rPr>
        <w:t>allocated versus unallocated receipts;</w:t>
      </w:r>
    </w:p>
    <w:p>
      <w:pPr>
        <w:spacing w:after="80" w:line="300" w:lineRule="auto"/>
        <w:numPr>
          <w:ilvl w:val="0"/>
          <w:numId w:val="10"/>
        </w:numPr>
      </w:pPr>
      <w:r>
        <w:rPr>
          <w:rFonts w:ascii="Calibri" w:hAnsi="Calibri"/>
          <w:b w:val="0"/>
          <w:i w:val="0"/>
          <w:color w:val="20262E"/>
          <w:sz w:val="22"/>
        </w:rPr>
        <w:t>draft invoice exclusion from AR;</w:t>
      </w:r>
    </w:p>
    <w:p>
      <w:pPr>
        <w:spacing w:after="80" w:line="300" w:lineRule="auto"/>
        <w:numPr>
          <w:ilvl w:val="0"/>
          <w:numId w:val="10"/>
        </w:numPr>
      </w:pPr>
      <w:r>
        <w:rPr>
          <w:rFonts w:ascii="Calibri" w:hAnsi="Calibri"/>
          <w:b w:val="0"/>
          <w:i w:val="0"/>
          <w:color w:val="20262E"/>
          <w:sz w:val="22"/>
        </w:rPr>
        <w:t>allocated versus unallocated vendor payments;</w:t>
      </w:r>
    </w:p>
    <w:p>
      <w:pPr>
        <w:spacing w:after="80" w:line="300" w:lineRule="auto"/>
        <w:numPr>
          <w:ilvl w:val="0"/>
          <w:numId w:val="10"/>
        </w:numPr>
      </w:pPr>
      <w:r>
        <w:rPr>
          <w:rFonts w:ascii="Calibri" w:hAnsi="Calibri"/>
          <w:b w:val="0"/>
          <w:i w:val="0"/>
          <w:color w:val="20262E"/>
          <w:sz w:val="22"/>
        </w:rPr>
        <w:t>project cash rollups versus AR/AP;</w:t>
      </w:r>
    </w:p>
    <w:p>
      <w:pPr>
        <w:spacing w:after="80" w:line="300" w:lineRule="auto"/>
        <w:numPr>
          <w:ilvl w:val="0"/>
          <w:numId w:val="10"/>
        </w:numPr>
      </w:pPr>
      <w:r>
        <w:rPr>
          <w:rFonts w:ascii="Calibri" w:hAnsi="Calibri"/>
          <w:b w:val="0"/>
          <w:i w:val="0"/>
          <w:color w:val="20262E"/>
          <w:sz w:val="22"/>
        </w:rPr>
        <w:t>project-level AR/AP scope;</w:t>
      </w:r>
    </w:p>
    <w:p>
      <w:pPr>
        <w:spacing w:after="80" w:line="300" w:lineRule="auto"/>
        <w:numPr>
          <w:ilvl w:val="0"/>
          <w:numId w:val="10"/>
        </w:numPr>
      </w:pPr>
      <w:r>
        <w:rPr>
          <w:rFonts w:ascii="Calibri" w:hAnsi="Calibri"/>
          <w:b w:val="0"/>
          <w:i w:val="0"/>
          <w:color w:val="20262E"/>
          <w:sz w:val="22"/>
        </w:rPr>
        <w:t>payment reversal;</w:t>
      </w:r>
    </w:p>
    <w:p>
      <w:pPr>
        <w:spacing w:after="80" w:line="300" w:lineRule="auto"/>
        <w:numPr>
          <w:ilvl w:val="0"/>
          <w:numId w:val="10"/>
        </w:numPr>
      </w:pPr>
      <w:r>
        <w:rPr>
          <w:rFonts w:ascii="Calibri" w:hAnsi="Calibri"/>
          <w:b w:val="0"/>
          <w:i w:val="0"/>
          <w:color w:val="20262E"/>
          <w:sz w:val="22"/>
        </w:rPr>
        <w:t>preservation of reversed history;</w:t>
      </w:r>
    </w:p>
    <w:p>
      <w:pPr>
        <w:spacing w:after="80" w:line="300" w:lineRule="auto"/>
        <w:numPr>
          <w:ilvl w:val="0"/>
          <w:numId w:val="10"/>
        </w:numPr>
      </w:pPr>
      <w:r>
        <w:rPr>
          <w:rFonts w:ascii="Calibri" w:hAnsi="Calibri"/>
          <w:b w:val="0"/>
          <w:i w:val="0"/>
          <w:color w:val="20262E"/>
          <w:sz w:val="22"/>
        </w:rPr>
        <w:t>orphan-reference normalization;</w:t>
      </w:r>
    </w:p>
    <w:p>
      <w:pPr>
        <w:spacing w:after="80" w:line="300" w:lineRule="auto"/>
        <w:numPr>
          <w:ilvl w:val="0"/>
          <w:numId w:val="10"/>
        </w:numPr>
      </w:pPr>
      <w:r>
        <w:rPr>
          <w:rFonts w:ascii="Calibri" w:hAnsi="Calibri"/>
          <w:b w:val="0"/>
          <w:i w:val="0"/>
          <w:color w:val="20262E"/>
          <w:sz w:val="22"/>
        </w:rPr>
        <w:t>multi-project vendor bill totals;</w:t>
      </w:r>
    </w:p>
    <w:p>
      <w:pPr>
        <w:spacing w:after="80" w:line="300" w:lineRule="auto"/>
        <w:numPr>
          <w:ilvl w:val="0"/>
          <w:numId w:val="10"/>
        </w:numPr>
      </w:pPr>
      <w:r>
        <w:rPr>
          <w:rFonts w:ascii="Calibri" w:hAnsi="Calibri"/>
          <w:b w:val="0"/>
          <w:i w:val="0"/>
          <w:color w:val="20262E"/>
          <w:sz w:val="22"/>
        </w:rPr>
        <w:t>rough and detailed estimate formulas;</w:t>
      </w:r>
    </w:p>
    <w:p>
      <w:pPr>
        <w:spacing w:after="80" w:line="300" w:lineRule="auto"/>
        <w:numPr>
          <w:ilvl w:val="0"/>
          <w:numId w:val="10"/>
        </w:numPr>
      </w:pPr>
      <w:r>
        <w:rPr>
          <w:rFonts w:ascii="Calibri" w:hAnsi="Calibri"/>
          <w:b w:val="0"/>
          <w:i w:val="0"/>
          <w:color w:val="20262E"/>
          <w:sz w:val="22"/>
        </w:rPr>
        <w:t>project cost forecast;</w:t>
      </w:r>
    </w:p>
    <w:p>
      <w:pPr>
        <w:spacing w:after="80" w:line="300" w:lineRule="auto"/>
        <w:numPr>
          <w:ilvl w:val="0"/>
          <w:numId w:val="10"/>
        </w:numPr>
      </w:pPr>
      <w:r>
        <w:rPr>
          <w:rFonts w:ascii="Calibri" w:hAnsi="Calibri"/>
          <w:b w:val="0"/>
          <w:i w:val="0"/>
          <w:color w:val="20262E"/>
          <w:sz w:val="22"/>
        </w:rPr>
        <w:t>prevention of request/bill double counting;</w:t>
      </w:r>
    </w:p>
    <w:p>
      <w:pPr>
        <w:spacing w:after="80" w:line="300" w:lineRule="auto"/>
        <w:numPr>
          <w:ilvl w:val="0"/>
          <w:numId w:val="10"/>
        </w:numPr>
      </w:pPr>
      <w:r>
        <w:rPr>
          <w:rFonts w:ascii="Calibri" w:hAnsi="Calibri"/>
          <w:b w:val="0"/>
          <w:i w:val="0"/>
          <w:color w:val="20262E"/>
          <w:sz w:val="22"/>
        </w:rPr>
        <w:t>local accounting date and money rounding;</w:t>
      </w:r>
    </w:p>
    <w:p>
      <w:pPr>
        <w:spacing w:after="80" w:line="300" w:lineRule="auto"/>
        <w:numPr>
          <w:ilvl w:val="0"/>
          <w:numId w:val="10"/>
        </w:numPr>
      </w:pPr>
      <w:r>
        <w:rPr>
          <w:rFonts w:ascii="Calibri" w:hAnsi="Calibri"/>
          <w:b w:val="0"/>
          <w:i w:val="0"/>
          <w:color w:val="20262E"/>
          <w:sz w:val="22"/>
        </w:rPr>
        <w:t>additive backup merge; and</w:t>
      </w:r>
    </w:p>
    <w:p>
      <w:pPr>
        <w:spacing w:after="80" w:line="300" w:lineRule="auto"/>
        <w:numPr>
          <w:ilvl w:val="0"/>
          <w:numId w:val="10"/>
        </w:numPr>
      </w:pPr>
      <w:r>
        <w:rPr>
          <w:rFonts w:ascii="Calibri" w:hAnsi="Calibri"/>
          <w:b w:val="0"/>
          <w:i w:val="0"/>
          <w:color w:val="20262E"/>
          <w:sz w:val="22"/>
        </w:rPr>
        <w:t>blocked and overdue milestone health.</w:t>
      </w:r>
    </w:p>
    <w:p>
      <w:pPr>
        <w:widowControl/>
      </w:pPr>
      <w:r>
        <w:rPr>
          <w:rFonts w:ascii="Calibri" w:hAnsi="Calibri"/>
          <w:b w:val="0"/>
          <w:i w:val="0"/>
          <w:color w:val="20262E"/>
          <w:sz w:val="22"/>
        </w:rPr>
        <w:t>The current suite contains 15 passing tests.</w:t>
      </w:r>
    </w:p>
    <w:p>
      <w:pPr>
        <w:widowControl/>
      </w:pPr>
      <w:r>
        <w:rPr>
          <w:rFonts w:ascii="Calibri" w:hAnsi="Calibri"/>
          <w:b w:val="0"/>
          <w:i w:val="0"/>
          <w:color w:val="20262E"/>
          <w:sz w:val="22"/>
        </w:rPr>
        <w:t>Recommended additional tests:</w:t>
      </w:r>
    </w:p>
    <w:p>
      <w:pPr>
        <w:spacing w:after="80" w:line="300" w:lineRule="auto"/>
        <w:numPr>
          <w:ilvl w:val="0"/>
          <w:numId w:val="10"/>
        </w:numPr>
      </w:pPr>
      <w:r>
        <w:rPr>
          <w:rFonts w:ascii="Calibri" w:hAnsi="Calibri"/>
          <w:b w:val="0"/>
          <w:i w:val="0"/>
          <w:color w:val="20262E"/>
          <w:sz w:val="22"/>
        </w:rPr>
        <w:t>component and form validation tests;</w:t>
      </w:r>
    </w:p>
    <w:p>
      <w:pPr>
        <w:spacing w:after="80" w:line="300" w:lineRule="auto"/>
        <w:numPr>
          <w:ilvl w:val="0"/>
          <w:numId w:val="10"/>
        </w:numPr>
      </w:pPr>
      <w:r>
        <w:rPr>
          <w:rFonts w:ascii="Calibri" w:hAnsi="Calibri"/>
          <w:b w:val="0"/>
          <w:i w:val="0"/>
          <w:color w:val="20262E"/>
          <w:sz w:val="22"/>
        </w:rPr>
        <w:t>API authentication and payload tests;</w:t>
      </w:r>
    </w:p>
    <w:p>
      <w:pPr>
        <w:spacing w:after="80" w:line="300" w:lineRule="auto"/>
        <w:numPr>
          <w:ilvl w:val="0"/>
          <w:numId w:val="10"/>
        </w:numPr>
      </w:pPr>
      <w:r>
        <w:rPr>
          <w:rFonts w:ascii="Calibri" w:hAnsi="Calibri"/>
          <w:b w:val="0"/>
          <w:i w:val="0"/>
          <w:color w:val="20262E"/>
          <w:sz w:val="22"/>
        </w:rPr>
        <w:t>D1 optimistic-concurrency integration tests;</w:t>
      </w:r>
    </w:p>
    <w:p>
      <w:pPr>
        <w:spacing w:after="80" w:line="300" w:lineRule="auto"/>
        <w:numPr>
          <w:ilvl w:val="0"/>
          <w:numId w:val="10"/>
        </w:numPr>
      </w:pPr>
      <w:r>
        <w:rPr>
          <w:rFonts w:ascii="Calibri" w:hAnsi="Calibri"/>
          <w:b w:val="0"/>
          <w:i w:val="0"/>
          <w:color w:val="20262E"/>
          <w:sz w:val="22"/>
        </w:rPr>
        <w:t>browser-based end-to-end workflows;</w:t>
      </w:r>
    </w:p>
    <w:p>
      <w:pPr>
        <w:spacing w:after="80" w:line="300" w:lineRule="auto"/>
        <w:numPr>
          <w:ilvl w:val="0"/>
          <w:numId w:val="10"/>
        </w:numPr>
      </w:pPr>
      <w:r>
        <w:rPr>
          <w:rFonts w:ascii="Calibri" w:hAnsi="Calibri"/>
          <w:b w:val="0"/>
          <w:i w:val="0"/>
          <w:color w:val="20262E"/>
          <w:sz w:val="22"/>
        </w:rPr>
        <w:t>migration tests for every schema version;</w:t>
      </w:r>
    </w:p>
    <w:p>
      <w:pPr>
        <w:spacing w:after="80" w:line="300" w:lineRule="auto"/>
        <w:numPr>
          <w:ilvl w:val="0"/>
          <w:numId w:val="10"/>
        </w:numPr>
      </w:pPr>
      <w:r>
        <w:rPr>
          <w:rFonts w:ascii="Calibri" w:hAnsi="Calibri"/>
          <w:b w:val="0"/>
          <w:i w:val="0"/>
          <w:color w:val="20262E"/>
          <w:sz w:val="22"/>
        </w:rPr>
        <w:t>export/import round trips;</w:t>
      </w:r>
    </w:p>
    <w:p>
      <w:pPr>
        <w:spacing w:after="80" w:line="300" w:lineRule="auto"/>
        <w:numPr>
          <w:ilvl w:val="0"/>
          <w:numId w:val="10"/>
        </w:numPr>
      </w:pPr>
      <w:r>
        <w:rPr>
          <w:rFonts w:ascii="Calibri" w:hAnsi="Calibri"/>
          <w:b w:val="0"/>
          <w:i w:val="0"/>
          <w:color w:val="20262E"/>
          <w:sz w:val="22"/>
        </w:rPr>
        <w:t>large-ledger performance;</w:t>
      </w:r>
    </w:p>
    <w:p>
      <w:pPr>
        <w:spacing w:after="80" w:line="300" w:lineRule="auto"/>
        <w:numPr>
          <w:ilvl w:val="0"/>
          <w:numId w:val="10"/>
        </w:numPr>
      </w:pPr>
      <w:r>
        <w:rPr>
          <w:rFonts w:ascii="Calibri" w:hAnsi="Calibri"/>
          <w:b w:val="0"/>
          <w:i w:val="0"/>
          <w:color w:val="20262E"/>
          <w:sz w:val="22"/>
        </w:rPr>
        <w:t>accessibility checks;</w:t>
      </w:r>
    </w:p>
    <w:p>
      <w:pPr>
        <w:spacing w:after="80" w:line="300" w:lineRule="auto"/>
        <w:numPr>
          <w:ilvl w:val="0"/>
          <w:numId w:val="10"/>
        </w:numPr>
      </w:pPr>
      <w:r>
        <w:rPr>
          <w:rFonts w:ascii="Calibri" w:hAnsi="Calibri"/>
          <w:b w:val="0"/>
          <w:i w:val="0"/>
          <w:color w:val="20262E"/>
          <w:sz w:val="22"/>
        </w:rPr>
        <w:t>permission tests after RBAC; and</w:t>
      </w:r>
    </w:p>
    <w:p>
      <w:pPr>
        <w:spacing w:after="80" w:line="300" w:lineRule="auto"/>
        <w:numPr>
          <w:ilvl w:val="0"/>
          <w:numId w:val="10"/>
        </w:numPr>
      </w:pPr>
      <w:r>
        <w:rPr>
          <w:rFonts w:ascii="Calibri" w:hAnsi="Calibri"/>
          <w:b w:val="0"/>
          <w:i w:val="0"/>
          <w:color w:val="20262E"/>
          <w:sz w:val="22"/>
        </w:rPr>
        <w:t>disaster-recovery exercises.</w:t>
      </w:r>
    </w:p>
    <w:p>
      <w:pPr>
        <w:pStyle w:val="Heading1"/>
      </w:pPr>
      <w:r>
        <w:t>15. Backup and recovery</w:t>
      </w:r>
    </w:p>
    <w:p>
      <w:pPr>
        <w:pStyle w:val="Heading2"/>
      </w:pPr>
      <w:r>
        <w:t>15.1 Routine backup</w:t>
      </w:r>
    </w:p>
    <w:p>
      <w:pPr>
        <w:spacing w:after="80" w:line="300" w:lineRule="auto"/>
        <w:numPr>
          <w:ilvl w:val="0"/>
          <w:numId w:val="23"/>
        </w:numPr>
      </w:pPr>
      <w:r>
        <w:rPr>
          <w:rFonts w:ascii="Calibri" w:hAnsi="Calibri"/>
          <w:b w:val="0"/>
          <w:i w:val="0"/>
          <w:color w:val="20262E"/>
          <w:sz w:val="22"/>
        </w:rPr>
        <w:t>Open Settings.</w:t>
      </w:r>
    </w:p>
    <w:p>
      <w:pPr>
        <w:spacing w:after="80" w:line="300" w:lineRule="auto"/>
        <w:numPr>
          <w:ilvl w:val="0"/>
          <w:numId w:val="23"/>
        </w:numPr>
      </w:pPr>
      <w:r>
        <w:rPr>
          <w:rFonts w:ascii="Calibri" w:hAnsi="Calibri"/>
          <w:b w:val="0"/>
          <w:i w:val="0"/>
          <w:color w:val="20262E"/>
          <w:sz w:val="22"/>
        </w:rPr>
        <w:t>Download the full JSON backup.</w:t>
      </w:r>
    </w:p>
    <w:p>
      <w:pPr>
        <w:spacing w:after="80" w:line="300" w:lineRule="auto"/>
        <w:numPr>
          <w:ilvl w:val="0"/>
          <w:numId w:val="23"/>
        </w:numPr>
      </w:pPr>
      <w:r>
        <w:rPr>
          <w:rFonts w:ascii="Calibri" w:hAnsi="Calibri"/>
          <w:b w:val="0"/>
          <w:i w:val="0"/>
          <w:color w:val="20262E"/>
          <w:sz w:val="22"/>
        </w:rPr>
        <w:t>Store it in an access-controlled location.</w:t>
      </w:r>
    </w:p>
    <w:p>
      <w:pPr>
        <w:spacing w:after="80" w:line="300" w:lineRule="auto"/>
        <w:numPr>
          <w:ilvl w:val="0"/>
          <w:numId w:val="23"/>
        </w:numPr>
      </w:pPr>
      <w:r>
        <w:rPr>
          <w:rFonts w:ascii="Calibri" w:hAnsi="Calibri"/>
          <w:b w:val="0"/>
          <w:i w:val="0"/>
          <w:color w:val="20262E"/>
          <w:sz w:val="22"/>
        </w:rPr>
        <w:t>Use dated retention, such as daily for seven days and monthly for one year, subject to legal requirements.</w:t>
      </w:r>
    </w:p>
    <w:p>
      <w:pPr>
        <w:spacing w:after="80" w:line="300" w:lineRule="auto"/>
        <w:numPr>
          <w:ilvl w:val="0"/>
          <w:numId w:val="23"/>
        </w:numPr>
      </w:pPr>
      <w:r>
        <w:rPr>
          <w:rFonts w:ascii="Calibri" w:hAnsi="Calibri"/>
          <w:b w:val="0"/>
          <w:i w:val="0"/>
          <w:color w:val="20262E"/>
          <w:sz w:val="22"/>
        </w:rPr>
        <w:t>Periodically verify that the file can be parsed and merged into a test environment.</w:t>
      </w:r>
    </w:p>
    <w:p>
      <w:pPr>
        <w:pStyle w:val="Heading2"/>
      </w:pPr>
      <w:r>
        <w:t>15.2 Recovery from JSON</w:t>
      </w:r>
    </w:p>
    <w:p>
      <w:pPr>
        <w:spacing w:after="80" w:line="300" w:lineRule="auto"/>
        <w:numPr>
          <w:ilvl w:val="0"/>
          <w:numId w:val="24"/>
        </w:numPr>
      </w:pPr>
      <w:r>
        <w:rPr>
          <w:rFonts w:ascii="Calibri" w:hAnsi="Calibri"/>
          <w:b w:val="0"/>
          <w:i w:val="0"/>
          <w:color w:val="20262E"/>
          <w:sz w:val="22"/>
        </w:rPr>
        <w:t>Confirm the target workspace.</w:t>
      </w:r>
    </w:p>
    <w:p>
      <w:pPr>
        <w:spacing w:after="80" w:line="300" w:lineRule="auto"/>
        <w:numPr>
          <w:ilvl w:val="0"/>
          <w:numId w:val="24"/>
        </w:numPr>
      </w:pPr>
      <w:r>
        <w:rPr>
          <w:rFonts w:ascii="Calibri" w:hAnsi="Calibri"/>
          <w:b w:val="0"/>
          <w:i w:val="0"/>
          <w:color w:val="20262E"/>
          <w:sz w:val="22"/>
        </w:rPr>
        <w:t>Export the current workspace before recovery.</w:t>
      </w:r>
    </w:p>
    <w:p>
      <w:pPr>
        <w:spacing w:after="80" w:line="300" w:lineRule="auto"/>
        <w:numPr>
          <w:ilvl w:val="0"/>
          <w:numId w:val="24"/>
        </w:numPr>
      </w:pPr>
      <w:r>
        <w:rPr>
          <w:rFonts w:ascii="Calibri" w:hAnsi="Calibri"/>
          <w:b w:val="0"/>
          <w:i w:val="0"/>
          <w:color w:val="20262E"/>
          <w:sz w:val="22"/>
        </w:rPr>
        <w:t xml:space="preserve">Use </w:t>
      </w:r>
      <w:r>
        <w:rPr>
          <w:rFonts w:ascii="Calibri" w:hAnsi="Calibri"/>
          <w:b/>
          <w:i w:val="0"/>
          <w:color w:val="20262E"/>
          <w:sz w:val="22"/>
        </w:rPr>
        <w:t>Merge backup</w:t>
      </w:r>
      <w:r>
        <w:rPr>
          <w:rFonts w:ascii="Calibri" w:hAnsi="Calibri"/>
          <w:b w:val="0"/>
          <w:i w:val="0"/>
          <w:color w:val="20262E"/>
          <w:sz w:val="22"/>
        </w:rPr>
        <w:t>.</w:t>
      </w:r>
    </w:p>
    <w:p>
      <w:pPr>
        <w:spacing w:after="80" w:line="300" w:lineRule="auto"/>
        <w:numPr>
          <w:ilvl w:val="0"/>
          <w:numId w:val="24"/>
        </w:numPr>
      </w:pPr>
      <w:r>
        <w:rPr>
          <w:rFonts w:ascii="Calibri" w:hAnsi="Calibri"/>
          <w:b w:val="0"/>
          <w:i w:val="0"/>
          <w:color w:val="20262E"/>
          <w:sz w:val="22"/>
        </w:rPr>
        <w:t>Verify project, invoice, expense, payment, request, and estimate counts.</w:t>
      </w:r>
    </w:p>
    <w:p>
      <w:pPr>
        <w:spacing w:after="80" w:line="300" w:lineRule="auto"/>
        <w:numPr>
          <w:ilvl w:val="0"/>
          <w:numId w:val="24"/>
        </w:numPr>
      </w:pPr>
      <w:r>
        <w:rPr>
          <w:rFonts w:ascii="Calibri" w:hAnsi="Calibri"/>
          <w:b w:val="0"/>
          <w:i w:val="0"/>
          <w:color w:val="20262E"/>
          <w:sz w:val="22"/>
        </w:rPr>
        <w:t>Review AR, AP, and cost-control totals.</w:t>
      </w:r>
    </w:p>
    <w:p>
      <w:pPr>
        <w:widowControl/>
      </w:pPr>
      <w:r>
        <w:rPr>
          <w:rFonts w:ascii="Calibri" w:hAnsi="Calibri"/>
          <w:b w:val="0"/>
          <w:i w:val="0"/>
          <w:color w:val="20262E"/>
          <w:sz w:val="22"/>
        </w:rPr>
        <w:t>The merge is ID-based and additive. It will not overwrite a current record that has the same ID. This preserves current history but is not a complete field-level reconciliation tool.</w:t>
      </w:r>
    </w:p>
    <w:p>
      <w:pPr>
        <w:pStyle w:val="Heading2"/>
      </w:pPr>
      <w:r>
        <w:t>15.3 Synchronization conflict</w:t>
      </w:r>
    </w:p>
    <w:p>
      <w:pPr>
        <w:widowControl/>
      </w:pPr>
      <w:r>
        <w:rPr>
          <w:rFonts w:ascii="Calibri" w:hAnsi="Calibri"/>
          <w:b w:val="0"/>
          <w:i w:val="0"/>
          <w:color w:val="20262E"/>
          <w:sz w:val="22"/>
        </w:rPr>
        <w:t>If the application displays a sync warning:</w:t>
      </w:r>
    </w:p>
    <w:p>
      <w:pPr>
        <w:spacing w:after="80" w:line="300" w:lineRule="auto"/>
        <w:numPr>
          <w:ilvl w:val="0"/>
          <w:numId w:val="25"/>
        </w:numPr>
      </w:pPr>
      <w:r>
        <w:rPr>
          <w:rFonts w:ascii="Calibri" w:hAnsi="Calibri"/>
          <w:b w:val="0"/>
          <w:i w:val="0"/>
          <w:color w:val="20262E"/>
          <w:sz w:val="22"/>
        </w:rPr>
        <w:t>stop entering data in additional sessions;</w:t>
      </w:r>
    </w:p>
    <w:p>
      <w:pPr>
        <w:spacing w:after="80" w:line="300" w:lineRule="auto"/>
        <w:numPr>
          <w:ilvl w:val="0"/>
          <w:numId w:val="25"/>
        </w:numPr>
      </w:pPr>
      <w:r>
        <w:rPr>
          <w:rFonts w:ascii="Calibri" w:hAnsi="Calibri"/>
          <w:b w:val="0"/>
          <w:i w:val="0"/>
          <w:color w:val="20262E"/>
          <w:sz w:val="22"/>
        </w:rPr>
        <w:t>download a JSON backup from the affected session;</w:t>
      </w:r>
    </w:p>
    <w:p>
      <w:pPr>
        <w:spacing w:after="80" w:line="300" w:lineRule="auto"/>
        <w:numPr>
          <w:ilvl w:val="0"/>
          <w:numId w:val="25"/>
        </w:numPr>
      </w:pPr>
      <w:r>
        <w:rPr>
          <w:rFonts w:ascii="Calibri" w:hAnsi="Calibri"/>
          <w:b w:val="0"/>
          <w:i w:val="0"/>
          <w:color w:val="20262E"/>
          <w:sz w:val="22"/>
        </w:rPr>
        <w:t>refresh to load the current cloud version;</w:t>
      </w:r>
    </w:p>
    <w:p>
      <w:pPr>
        <w:spacing w:after="80" w:line="300" w:lineRule="auto"/>
        <w:numPr>
          <w:ilvl w:val="0"/>
          <w:numId w:val="25"/>
        </w:numPr>
      </w:pPr>
      <w:r>
        <w:rPr>
          <w:rFonts w:ascii="Calibri" w:hAnsi="Calibri"/>
          <w:b w:val="0"/>
          <w:i w:val="0"/>
          <w:color w:val="20262E"/>
          <w:sz w:val="22"/>
        </w:rPr>
        <w:t>merge the backup;</w:t>
      </w:r>
    </w:p>
    <w:p>
      <w:pPr>
        <w:spacing w:after="80" w:line="300" w:lineRule="auto"/>
        <w:numPr>
          <w:ilvl w:val="0"/>
          <w:numId w:val="25"/>
        </w:numPr>
      </w:pPr>
      <w:r>
        <w:rPr>
          <w:rFonts w:ascii="Calibri" w:hAnsi="Calibri"/>
          <w:b w:val="0"/>
          <w:i w:val="0"/>
          <w:color w:val="20262E"/>
          <w:sz w:val="22"/>
        </w:rPr>
        <w:t>verify the affected records and totals; and</w:t>
      </w:r>
    </w:p>
    <w:p>
      <w:pPr>
        <w:spacing w:after="80" w:line="300" w:lineRule="auto"/>
        <w:numPr>
          <w:ilvl w:val="0"/>
          <w:numId w:val="25"/>
        </w:numPr>
      </w:pPr>
      <w:r>
        <w:rPr>
          <w:rFonts w:ascii="Calibri" w:hAnsi="Calibri"/>
          <w:b w:val="0"/>
          <w:i w:val="0"/>
          <w:color w:val="20262E"/>
          <w:sz w:val="22"/>
        </w:rPr>
        <w:t>continue from one active session until conflict-resolution tooling is added.</w:t>
      </w:r>
    </w:p>
    <w:p>
      <w:pPr>
        <w:pStyle w:val="Heading1"/>
      </w:pPr>
      <w:r>
        <w:t>16. Operational controls and recommended cadence</w:t>
      </w:r>
    </w:p>
    <w:p>
      <w:pPr>
        <w:pStyle w:val="Heading2"/>
      </w:pPr>
      <w:r>
        <w:t>Daily</w:t>
      </w:r>
    </w:p>
    <w:p>
      <w:pPr>
        <w:spacing w:after="80" w:line="300" w:lineRule="auto"/>
        <w:numPr>
          <w:ilvl w:val="0"/>
          <w:numId w:val="10"/>
        </w:numPr>
      </w:pPr>
      <w:r>
        <w:rPr>
          <w:rFonts w:ascii="Calibri" w:hAnsi="Calibri"/>
          <w:b w:val="0"/>
          <w:i w:val="0"/>
          <w:color w:val="20262E"/>
          <w:sz w:val="22"/>
        </w:rPr>
        <w:t>Supervisors submit material requests and petty expenses.</w:t>
      </w:r>
    </w:p>
    <w:p>
      <w:pPr>
        <w:spacing w:after="80" w:line="300" w:lineRule="auto"/>
        <w:numPr>
          <w:ilvl w:val="0"/>
          <w:numId w:val="10"/>
        </w:numPr>
      </w:pPr>
      <w:r>
        <w:rPr>
          <w:rFonts w:ascii="Calibri" w:hAnsi="Calibri"/>
          <w:b w:val="0"/>
          <w:i w:val="0"/>
          <w:color w:val="20262E"/>
          <w:sz w:val="22"/>
        </w:rPr>
        <w:t>Procurement reviews urgent and critical requests.</w:t>
      </w:r>
    </w:p>
    <w:p>
      <w:pPr>
        <w:spacing w:after="80" w:line="300" w:lineRule="auto"/>
        <w:numPr>
          <w:ilvl w:val="0"/>
          <w:numId w:val="10"/>
        </w:numPr>
      </w:pPr>
      <w:r>
        <w:rPr>
          <w:rFonts w:ascii="Calibri" w:hAnsi="Calibri"/>
          <w:b w:val="0"/>
          <w:i w:val="0"/>
          <w:color w:val="20262E"/>
          <w:sz w:val="22"/>
        </w:rPr>
        <w:t>Finance records receipts and vendor payments.</w:t>
      </w:r>
    </w:p>
    <w:p>
      <w:pPr>
        <w:spacing w:after="80" w:line="300" w:lineRule="auto"/>
        <w:numPr>
          <w:ilvl w:val="0"/>
          <w:numId w:val="10"/>
        </w:numPr>
      </w:pPr>
      <w:r>
        <w:rPr>
          <w:rFonts w:ascii="Calibri" w:hAnsi="Calibri"/>
          <w:b w:val="0"/>
          <w:i w:val="0"/>
          <w:color w:val="20262E"/>
          <w:sz w:val="22"/>
        </w:rPr>
        <w:t>Project managers update blockers and milestone progress.</w:t>
      </w:r>
    </w:p>
    <w:p>
      <w:pPr>
        <w:pStyle w:val="Heading2"/>
      </w:pPr>
      <w:r>
        <w:t>Weekly</w:t>
      </w:r>
    </w:p>
    <w:p>
      <w:pPr>
        <w:spacing w:after="80" w:line="300" w:lineRule="auto"/>
        <w:numPr>
          <w:ilvl w:val="0"/>
          <w:numId w:val="10"/>
        </w:numPr>
      </w:pPr>
      <w:r>
        <w:rPr>
          <w:rFonts w:ascii="Calibri" w:hAnsi="Calibri"/>
          <w:b w:val="0"/>
          <w:i w:val="0"/>
          <w:color w:val="20262E"/>
          <w:sz w:val="22"/>
        </w:rPr>
        <w:t>Review overdue client invoices and promises.</w:t>
      </w:r>
    </w:p>
    <w:p>
      <w:pPr>
        <w:spacing w:after="80" w:line="300" w:lineRule="auto"/>
        <w:numPr>
          <w:ilvl w:val="0"/>
          <w:numId w:val="10"/>
        </w:numPr>
      </w:pPr>
      <w:r>
        <w:rPr>
          <w:rFonts w:ascii="Calibri" w:hAnsi="Calibri"/>
          <w:b w:val="0"/>
          <w:i w:val="0"/>
          <w:color w:val="20262E"/>
          <w:sz w:val="22"/>
        </w:rPr>
        <w:t>Review overdue vendor bills.</w:t>
      </w:r>
    </w:p>
    <w:p>
      <w:pPr>
        <w:spacing w:after="80" w:line="300" w:lineRule="auto"/>
        <w:numPr>
          <w:ilvl w:val="0"/>
          <w:numId w:val="10"/>
        </w:numPr>
      </w:pPr>
      <w:r>
        <w:rPr>
          <w:rFonts w:ascii="Calibri" w:hAnsi="Calibri"/>
          <w:b w:val="0"/>
          <w:i w:val="0"/>
          <w:color w:val="20262E"/>
          <w:sz w:val="22"/>
        </w:rPr>
        <w:t>Review unallocated client and vendor advances.</w:t>
      </w:r>
    </w:p>
    <w:p>
      <w:pPr>
        <w:spacing w:after="80" w:line="300" w:lineRule="auto"/>
        <w:numPr>
          <w:ilvl w:val="0"/>
          <w:numId w:val="10"/>
        </w:numPr>
      </w:pPr>
      <w:r>
        <w:rPr>
          <w:rFonts w:ascii="Calibri" w:hAnsi="Calibri"/>
          <w:b w:val="0"/>
          <w:i w:val="0"/>
          <w:color w:val="20262E"/>
          <w:sz w:val="22"/>
        </w:rPr>
        <w:t>Compare forecast cost with approved baseline.</w:t>
      </w:r>
    </w:p>
    <w:p>
      <w:pPr>
        <w:spacing w:after="80" w:line="300" w:lineRule="auto"/>
        <w:numPr>
          <w:ilvl w:val="0"/>
          <w:numId w:val="10"/>
        </w:numPr>
      </w:pPr>
      <w:r>
        <w:rPr>
          <w:rFonts w:ascii="Calibri" w:hAnsi="Calibri"/>
          <w:b w:val="0"/>
          <w:i w:val="0"/>
          <w:color w:val="20262E"/>
          <w:sz w:val="22"/>
        </w:rPr>
        <w:t>Review blocked and overdue milestones.</w:t>
      </w:r>
    </w:p>
    <w:p>
      <w:pPr>
        <w:spacing w:after="80" w:line="300" w:lineRule="auto"/>
        <w:numPr>
          <w:ilvl w:val="0"/>
          <w:numId w:val="10"/>
        </w:numPr>
      </w:pPr>
      <w:r>
        <w:rPr>
          <w:rFonts w:ascii="Calibri" w:hAnsi="Calibri"/>
          <w:b w:val="0"/>
          <w:i w:val="0"/>
          <w:color w:val="20262E"/>
          <w:sz w:val="22"/>
        </w:rPr>
        <w:t>Export a backup.</w:t>
      </w:r>
    </w:p>
    <w:p>
      <w:pPr>
        <w:pStyle w:val="Heading2"/>
      </w:pPr>
      <w:r>
        <w:t>Monthly</w:t>
      </w:r>
    </w:p>
    <w:p>
      <w:pPr>
        <w:spacing w:after="80" w:line="300" w:lineRule="auto"/>
        <w:numPr>
          <w:ilvl w:val="0"/>
          <w:numId w:val="10"/>
        </w:numPr>
      </w:pPr>
      <w:r>
        <w:rPr>
          <w:rFonts w:ascii="Calibri" w:hAnsi="Calibri"/>
          <w:b w:val="0"/>
          <w:i w:val="0"/>
          <w:color w:val="20262E"/>
          <w:sz w:val="22"/>
        </w:rPr>
        <w:t>Reconcile Studio Ledger cash records with bank statements externally.</w:t>
      </w:r>
    </w:p>
    <w:p>
      <w:pPr>
        <w:spacing w:after="80" w:line="300" w:lineRule="auto"/>
        <w:numPr>
          <w:ilvl w:val="0"/>
          <w:numId w:val="10"/>
        </w:numPr>
      </w:pPr>
      <w:r>
        <w:rPr>
          <w:rFonts w:ascii="Calibri" w:hAnsi="Calibri"/>
          <w:b w:val="0"/>
          <w:i w:val="0"/>
          <w:color w:val="20262E"/>
          <w:sz w:val="22"/>
        </w:rPr>
        <w:t>Review project margins and estimate variance.</w:t>
      </w:r>
    </w:p>
    <w:p>
      <w:pPr>
        <w:spacing w:after="80" w:line="300" w:lineRule="auto"/>
        <w:numPr>
          <w:ilvl w:val="0"/>
          <w:numId w:val="10"/>
        </w:numPr>
      </w:pPr>
      <w:r>
        <w:rPr>
          <w:rFonts w:ascii="Calibri" w:hAnsi="Calibri"/>
          <w:b w:val="0"/>
          <w:i w:val="0"/>
          <w:color w:val="20262E"/>
          <w:sz w:val="22"/>
        </w:rPr>
        <w:t>Review unused or expired design execution credits.</w:t>
      </w:r>
    </w:p>
    <w:p>
      <w:pPr>
        <w:spacing w:after="80" w:line="300" w:lineRule="auto"/>
        <w:numPr>
          <w:ilvl w:val="0"/>
          <w:numId w:val="10"/>
        </w:numPr>
      </w:pPr>
      <w:r>
        <w:rPr>
          <w:rFonts w:ascii="Calibri" w:hAnsi="Calibri"/>
          <w:b w:val="0"/>
          <w:i w:val="0"/>
          <w:color w:val="20262E"/>
          <w:sz w:val="22"/>
        </w:rPr>
        <w:t>Close completed projects operationally without deleting them.</w:t>
      </w:r>
    </w:p>
    <w:p>
      <w:pPr>
        <w:spacing w:after="80" w:line="300" w:lineRule="auto"/>
        <w:numPr>
          <w:ilvl w:val="0"/>
          <w:numId w:val="10"/>
        </w:numPr>
      </w:pPr>
      <w:r>
        <w:rPr>
          <w:rFonts w:ascii="Calibri" w:hAnsi="Calibri"/>
          <w:b w:val="0"/>
          <w:i w:val="0"/>
          <w:color w:val="20262E"/>
          <w:sz w:val="22"/>
        </w:rPr>
        <w:t>Archive a month-end backup.</w:t>
      </w:r>
    </w:p>
    <w:p>
      <w:pPr>
        <w:pStyle w:val="Heading1"/>
      </w:pPr>
      <w:r>
        <w:t>17. Known limitations and risk register</w:t>
      </w:r>
    </w:p>
    <w:tbl>
      <w:tblPr>
        <w:tblStyle w:val="TableGrid"/>
        <w:tblW w:type="dxa" w:w="9360"/>
        <w:jc w:val="left"/>
        <w:tblLayout w:type="fixed"/>
        <w:tblLook w:firstColumn="1" w:firstRow="1" w:lastColumn="0" w:lastRow="0" w:noHBand="0" w:noVBand="1" w:val="04A0"/>
        <w:tblInd w:w="120" w:type="dxa"/>
      </w:tblPr>
      <w:tblGrid>
        <w:gridCol w:w="1450"/>
        <w:gridCol w:w="2650"/>
        <w:gridCol w:w="2250"/>
        <w:gridCol w:w="3010"/>
      </w:tblGrid>
      <w:tr>
        <w:trPr>
          <w:tblHeader w:val="true"/>
          <w:cantSplit/>
        </w:trPr>
        <w:tc>
          <w:tcPr>
            <w:tcW w:type="dxa" w:w="145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8"/>
              </w:rPr>
              <w:t>Area</w:t>
            </w:r>
          </w:p>
        </w:tc>
        <w:tc>
          <w:tcPr>
            <w:tcW w:type="dxa" w:w="265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8"/>
              </w:rPr>
              <w:t>Current limitation</w:t>
            </w:r>
          </w:p>
        </w:tc>
        <w:tc>
          <w:tcPr>
            <w:tcW w:type="dxa" w:w="225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8"/>
              </w:rPr>
              <w:t>Business risk</w:t>
            </w:r>
          </w:p>
        </w:tc>
        <w:tc>
          <w:tcPr>
            <w:tcW w:type="dxa" w:w="301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8"/>
              </w:rPr>
              <w:t>Recommended action</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Authorization</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All site users have the same application capability</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Unauthorized approvals or financial changes</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RBAC and approval limits</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Accounting</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 double-entry ledger or bank reconciliation</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Not suitable as statutory books</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Integrate with certified accounting software</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Audit</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Version-level audit only</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Cannot prove field-level change history</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Store immutable item-level events/diffs</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Persistence</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Whole ledger saved as one JSON document</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Conflict and scaling risk</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Migrate to normalized transactional tables</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Conflict handling</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Detects 409 but does not merge interactively</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Work may need manual reconciliation</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record-level conflict resolution</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Documents</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Receipt and drawing references are text only</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Evidence can be lost or separated</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R2 uploads and retention</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Invoice correction</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 credit/debit note workflow</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Manual adjustments may be inconsistent</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Implement formal adjustment documents</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Procurement</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 PO, GRN, inventory, or three-way match</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Quantity and delivery controls remain manual</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PO-to-GRN-to-bill matching</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Scheduling</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Milestones only</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 critical path or capacity forecast</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dependencies and resource planning</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Notifications</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No automated reminders</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Collections and approvals rely on discipline</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Add email/SMS/Slack workflows</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Tax</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Generic tax fields</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Compliance may be incorrect</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Obtain jurisdiction-specific tax review</w:t>
            </w:r>
          </w:p>
        </w:tc>
      </w:tr>
      <w:tr>
        <w:trPr>
          <w:cantSplit/>
        </w:trPr>
        <w:tc>
          <w:tcPr>
            <w:tcW w:type="dxa" w:w="14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Security</w:t>
            </w:r>
          </w:p>
        </w:tc>
        <w:tc>
          <w:tcPr>
            <w:tcW w:type="dxa" w:w="26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Dependency audit not completed in this work session</w:t>
            </w:r>
          </w:p>
        </w:tc>
        <w:tc>
          <w:tcPr>
            <w:tcW w:type="dxa" w:w="225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Unknown third-party package risk</w:t>
            </w:r>
          </w:p>
        </w:tc>
        <w:tc>
          <w:tcPr>
            <w:tcW w:type="dxa" w:w="301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8"/>
              </w:rPr>
              <w:t>Run approved audit and remediation cycle</w:t>
            </w:r>
          </w:p>
        </w:tc>
      </w:tr>
    </w:tbl>
    <w:p>
      <w:pPr>
        <w:spacing w:before="0" w:after="40"/>
      </w:pPr>
    </w:p>
    <w:p>
      <w:pPr>
        <w:pStyle w:val="Heading1"/>
      </w:pPr>
      <w:r>
        <w:t>18. Recommended roadmap</w:t>
      </w:r>
    </w:p>
    <w:p>
      <w:pPr>
        <w:pStyle w:val="Heading2"/>
      </w:pPr>
      <w:r>
        <w:t>Phase 1: Production governance</w:t>
      </w:r>
    </w:p>
    <w:p>
      <w:pPr>
        <w:spacing w:after="80" w:line="300" w:lineRule="auto"/>
        <w:numPr>
          <w:ilvl w:val="0"/>
          <w:numId w:val="10"/>
        </w:numPr>
      </w:pPr>
      <w:r>
        <w:rPr>
          <w:rFonts w:ascii="Calibri" w:hAnsi="Calibri"/>
          <w:b w:val="0"/>
          <w:i w:val="0"/>
          <w:color w:val="20262E"/>
          <w:sz w:val="22"/>
        </w:rPr>
        <w:t>Role-based access control</w:t>
      </w:r>
    </w:p>
    <w:p>
      <w:pPr>
        <w:spacing w:after="80" w:line="300" w:lineRule="auto"/>
        <w:numPr>
          <w:ilvl w:val="0"/>
          <w:numId w:val="10"/>
        </w:numPr>
      </w:pPr>
      <w:r>
        <w:rPr>
          <w:rFonts w:ascii="Calibri" w:hAnsi="Calibri"/>
          <w:b w:val="0"/>
          <w:i w:val="0"/>
          <w:color w:val="20262E"/>
          <w:sz w:val="22"/>
        </w:rPr>
        <w:t>Approval identity and authority limits</w:t>
      </w:r>
    </w:p>
    <w:p>
      <w:pPr>
        <w:spacing w:after="80" w:line="300" w:lineRule="auto"/>
        <w:numPr>
          <w:ilvl w:val="0"/>
          <w:numId w:val="10"/>
        </w:numPr>
      </w:pPr>
      <w:r>
        <w:rPr>
          <w:rFonts w:ascii="Calibri" w:hAnsi="Calibri"/>
          <w:b w:val="0"/>
          <w:i w:val="0"/>
          <w:color w:val="20262E"/>
          <w:sz w:val="22"/>
        </w:rPr>
        <w:t>API schema validation and payload limits</w:t>
      </w:r>
    </w:p>
    <w:p>
      <w:pPr>
        <w:spacing w:after="80" w:line="300" w:lineRule="auto"/>
        <w:numPr>
          <w:ilvl w:val="0"/>
          <w:numId w:val="10"/>
        </w:numPr>
      </w:pPr>
      <w:r>
        <w:rPr>
          <w:rFonts w:ascii="Calibri" w:hAnsi="Calibri"/>
          <w:b w:val="0"/>
          <w:i w:val="0"/>
          <w:color w:val="20262E"/>
          <w:sz w:val="22"/>
        </w:rPr>
        <w:t>Automated backups and restore testing</w:t>
      </w:r>
    </w:p>
    <w:p>
      <w:pPr>
        <w:spacing w:after="80" w:line="300" w:lineRule="auto"/>
        <w:numPr>
          <w:ilvl w:val="0"/>
          <w:numId w:val="10"/>
        </w:numPr>
      </w:pPr>
      <w:r>
        <w:rPr>
          <w:rFonts w:ascii="Calibri" w:hAnsi="Calibri"/>
          <w:b w:val="0"/>
          <w:i w:val="0"/>
          <w:color w:val="20262E"/>
          <w:sz w:val="22"/>
        </w:rPr>
        <w:t>Monitoring, error logging, and security review</w:t>
      </w:r>
    </w:p>
    <w:p>
      <w:pPr>
        <w:pStyle w:val="Heading2"/>
      </w:pPr>
      <w:r>
        <w:t>Phase 2: Transactional persistence</w:t>
      </w:r>
    </w:p>
    <w:p>
      <w:pPr>
        <w:spacing w:after="80" w:line="300" w:lineRule="auto"/>
        <w:numPr>
          <w:ilvl w:val="0"/>
          <w:numId w:val="10"/>
        </w:numPr>
      </w:pPr>
      <w:r>
        <w:rPr>
          <w:rFonts w:ascii="Calibri" w:hAnsi="Calibri"/>
          <w:b w:val="0"/>
          <w:i w:val="0"/>
          <w:color w:val="20262E"/>
          <w:sz w:val="22"/>
        </w:rPr>
        <w:t>Migrate from one JSON ledger row to normalized D1 tables</w:t>
      </w:r>
    </w:p>
    <w:p>
      <w:pPr>
        <w:spacing w:after="80" w:line="300" w:lineRule="auto"/>
        <w:numPr>
          <w:ilvl w:val="0"/>
          <w:numId w:val="10"/>
        </w:numPr>
      </w:pPr>
      <w:r>
        <w:rPr>
          <w:rFonts w:ascii="Calibri" w:hAnsi="Calibri"/>
          <w:b w:val="0"/>
          <w:i w:val="0"/>
          <w:color w:val="20262E"/>
          <w:sz w:val="22"/>
        </w:rPr>
        <w:t>Use database transactions for bills, expense lines, and payment allocations</w:t>
      </w:r>
    </w:p>
    <w:p>
      <w:pPr>
        <w:spacing w:after="80" w:line="300" w:lineRule="auto"/>
        <w:numPr>
          <w:ilvl w:val="0"/>
          <w:numId w:val="10"/>
        </w:numPr>
      </w:pPr>
      <w:r>
        <w:rPr>
          <w:rFonts w:ascii="Calibri" w:hAnsi="Calibri"/>
          <w:b w:val="0"/>
          <w:i w:val="0"/>
          <w:color w:val="20262E"/>
          <w:sz w:val="22"/>
        </w:rPr>
        <w:t>Implement item-level audit events</w:t>
      </w:r>
    </w:p>
    <w:p>
      <w:pPr>
        <w:spacing w:after="80" w:line="300" w:lineRule="auto"/>
        <w:numPr>
          <w:ilvl w:val="0"/>
          <w:numId w:val="10"/>
        </w:numPr>
      </w:pPr>
      <w:r>
        <w:rPr>
          <w:rFonts w:ascii="Calibri" w:hAnsi="Calibri"/>
          <w:b w:val="0"/>
          <w:i w:val="0"/>
          <w:color w:val="20262E"/>
          <w:sz w:val="22"/>
        </w:rPr>
        <w:t>Add record timestamps and actors</w:t>
      </w:r>
    </w:p>
    <w:p>
      <w:pPr>
        <w:spacing w:after="80" w:line="300" w:lineRule="auto"/>
        <w:numPr>
          <w:ilvl w:val="0"/>
          <w:numId w:val="10"/>
        </w:numPr>
      </w:pPr>
      <w:r>
        <w:rPr>
          <w:rFonts w:ascii="Calibri" w:hAnsi="Calibri"/>
          <w:b w:val="0"/>
          <w:i w:val="0"/>
          <w:color w:val="20262E"/>
          <w:sz w:val="22"/>
        </w:rPr>
        <w:t>Add conflict-resolution user experience</w:t>
      </w:r>
    </w:p>
    <w:p>
      <w:pPr>
        <w:pStyle w:val="Heading2"/>
      </w:pPr>
      <w:r>
        <w:t>Phase 3: Commercial and accounting depth</w:t>
      </w:r>
    </w:p>
    <w:p>
      <w:pPr>
        <w:spacing w:after="80" w:line="300" w:lineRule="auto"/>
        <w:numPr>
          <w:ilvl w:val="0"/>
          <w:numId w:val="10"/>
        </w:numPr>
      </w:pPr>
      <w:r>
        <w:rPr>
          <w:rFonts w:ascii="Calibri" w:hAnsi="Calibri"/>
          <w:b w:val="0"/>
          <w:i w:val="0"/>
          <w:color w:val="20262E"/>
          <w:sz w:val="22"/>
        </w:rPr>
        <w:t>Credit notes and debit notes</w:t>
      </w:r>
    </w:p>
    <w:p>
      <w:pPr>
        <w:spacing w:after="80" w:line="300" w:lineRule="auto"/>
        <w:numPr>
          <w:ilvl w:val="0"/>
          <w:numId w:val="10"/>
        </w:numPr>
      </w:pPr>
      <w:r>
        <w:rPr>
          <w:rFonts w:ascii="Calibri" w:hAnsi="Calibri"/>
          <w:b w:val="0"/>
          <w:i w:val="0"/>
          <w:color w:val="20262E"/>
          <w:sz w:val="22"/>
        </w:rPr>
        <w:t>Client and vendor advance application</w:t>
      </w:r>
    </w:p>
    <w:p>
      <w:pPr>
        <w:spacing w:after="80" w:line="300" w:lineRule="auto"/>
        <w:numPr>
          <w:ilvl w:val="0"/>
          <w:numId w:val="10"/>
        </w:numPr>
      </w:pPr>
      <w:r>
        <w:rPr>
          <w:rFonts w:ascii="Calibri" w:hAnsi="Calibri"/>
          <w:b w:val="0"/>
          <w:i w:val="0"/>
          <w:color w:val="20262E"/>
          <w:sz w:val="22"/>
        </w:rPr>
        <w:t>Bank reconciliation</w:t>
      </w:r>
    </w:p>
    <w:p>
      <w:pPr>
        <w:spacing w:after="80" w:line="300" w:lineRule="auto"/>
        <w:numPr>
          <w:ilvl w:val="0"/>
          <w:numId w:val="10"/>
        </w:numPr>
      </w:pPr>
      <w:r>
        <w:rPr>
          <w:rFonts w:ascii="Calibri" w:hAnsi="Calibri"/>
          <w:b w:val="0"/>
          <w:i w:val="0"/>
          <w:color w:val="20262E"/>
          <w:sz w:val="22"/>
        </w:rPr>
        <w:t>Tax-specific reports and accounting-system integration</w:t>
      </w:r>
    </w:p>
    <w:p>
      <w:pPr>
        <w:spacing w:after="80" w:line="300" w:lineRule="auto"/>
        <w:numPr>
          <w:ilvl w:val="0"/>
          <w:numId w:val="10"/>
        </w:numPr>
      </w:pPr>
      <w:r>
        <w:rPr>
          <w:rFonts w:ascii="Calibri" w:hAnsi="Calibri"/>
          <w:b w:val="0"/>
          <w:i w:val="0"/>
          <w:color w:val="20262E"/>
          <w:sz w:val="22"/>
        </w:rPr>
        <w:t>Retention and close-period controls</w:t>
      </w:r>
    </w:p>
    <w:p>
      <w:pPr>
        <w:pStyle w:val="Heading2"/>
      </w:pPr>
      <w:r>
        <w:t>Phase 4: Procurement and delivery</w:t>
      </w:r>
    </w:p>
    <w:p>
      <w:pPr>
        <w:spacing w:after="80" w:line="300" w:lineRule="auto"/>
        <w:numPr>
          <w:ilvl w:val="0"/>
          <w:numId w:val="10"/>
        </w:numPr>
      </w:pPr>
      <w:r>
        <w:rPr>
          <w:rFonts w:ascii="Calibri" w:hAnsi="Calibri"/>
          <w:b w:val="0"/>
          <w:i w:val="0"/>
          <w:color w:val="20262E"/>
          <w:sz w:val="22"/>
        </w:rPr>
        <w:t>Purchase orders</w:t>
      </w:r>
    </w:p>
    <w:p>
      <w:pPr>
        <w:spacing w:after="80" w:line="300" w:lineRule="auto"/>
        <w:numPr>
          <w:ilvl w:val="0"/>
          <w:numId w:val="10"/>
        </w:numPr>
      </w:pPr>
      <w:r>
        <w:rPr>
          <w:rFonts w:ascii="Calibri" w:hAnsi="Calibri"/>
          <w:b w:val="0"/>
          <w:i w:val="0"/>
          <w:color w:val="20262E"/>
          <w:sz w:val="22"/>
        </w:rPr>
        <w:t>Goods-receipt notes</w:t>
      </w:r>
    </w:p>
    <w:p>
      <w:pPr>
        <w:spacing w:after="80" w:line="300" w:lineRule="auto"/>
        <w:numPr>
          <w:ilvl w:val="0"/>
          <w:numId w:val="10"/>
        </w:numPr>
      </w:pPr>
      <w:r>
        <w:rPr>
          <w:rFonts w:ascii="Calibri" w:hAnsi="Calibri"/>
          <w:b w:val="0"/>
          <w:i w:val="0"/>
          <w:color w:val="20262E"/>
          <w:sz w:val="22"/>
        </w:rPr>
        <w:t>Three-way match</w:t>
      </w:r>
    </w:p>
    <w:p>
      <w:pPr>
        <w:spacing w:after="80" w:line="300" w:lineRule="auto"/>
        <w:numPr>
          <w:ilvl w:val="0"/>
          <w:numId w:val="10"/>
        </w:numPr>
      </w:pPr>
      <w:r>
        <w:rPr>
          <w:rFonts w:ascii="Calibri" w:hAnsi="Calibri"/>
          <w:b w:val="0"/>
          <w:i w:val="0"/>
          <w:color w:val="20262E"/>
          <w:sz w:val="22"/>
        </w:rPr>
        <w:t>Attachments and receipt images</w:t>
      </w:r>
    </w:p>
    <w:p>
      <w:pPr>
        <w:spacing w:after="80" w:line="300" w:lineRule="auto"/>
        <w:numPr>
          <w:ilvl w:val="0"/>
          <w:numId w:val="10"/>
        </w:numPr>
      </w:pPr>
      <w:r>
        <w:rPr>
          <w:rFonts w:ascii="Calibri" w:hAnsi="Calibri"/>
          <w:b w:val="0"/>
          <w:i w:val="0"/>
          <w:color w:val="20262E"/>
          <w:sz w:val="22"/>
        </w:rPr>
        <w:t>Material inventory and wastage</w:t>
      </w:r>
    </w:p>
    <w:p>
      <w:pPr>
        <w:spacing w:after="80" w:line="300" w:lineRule="auto"/>
        <w:numPr>
          <w:ilvl w:val="0"/>
          <w:numId w:val="10"/>
        </w:numPr>
      </w:pPr>
      <w:r>
        <w:rPr>
          <w:rFonts w:ascii="Calibri" w:hAnsi="Calibri"/>
          <w:b w:val="0"/>
          <w:i w:val="0"/>
          <w:color w:val="20262E"/>
          <w:sz w:val="22"/>
        </w:rPr>
        <w:t>Schedule dependencies and resource capacity</w:t>
      </w:r>
    </w:p>
    <w:p>
      <w:pPr>
        <w:pStyle w:val="Heading2"/>
      </w:pPr>
      <w:r>
        <w:t>Phase 5: Automation and analytics</w:t>
      </w:r>
    </w:p>
    <w:p>
      <w:pPr>
        <w:spacing w:after="80" w:line="300" w:lineRule="auto"/>
        <w:numPr>
          <w:ilvl w:val="0"/>
          <w:numId w:val="10"/>
        </w:numPr>
      </w:pPr>
      <w:r>
        <w:rPr>
          <w:rFonts w:ascii="Calibri" w:hAnsi="Calibri"/>
          <w:b w:val="0"/>
          <w:i w:val="0"/>
          <w:color w:val="20262E"/>
          <w:sz w:val="22"/>
        </w:rPr>
        <w:t>Approval and collection notifications</w:t>
      </w:r>
    </w:p>
    <w:p>
      <w:pPr>
        <w:spacing w:after="80" w:line="300" w:lineRule="auto"/>
        <w:numPr>
          <w:ilvl w:val="0"/>
          <w:numId w:val="10"/>
        </w:numPr>
      </w:pPr>
      <w:r>
        <w:rPr>
          <w:rFonts w:ascii="Calibri" w:hAnsi="Calibri"/>
          <w:b w:val="0"/>
          <w:i w:val="0"/>
          <w:color w:val="20262E"/>
          <w:sz w:val="22"/>
        </w:rPr>
        <w:t>Client portal</w:t>
      </w:r>
    </w:p>
    <w:p>
      <w:pPr>
        <w:spacing w:after="80" w:line="300" w:lineRule="auto"/>
        <w:numPr>
          <w:ilvl w:val="0"/>
          <w:numId w:val="10"/>
        </w:numPr>
      </w:pPr>
      <w:r>
        <w:rPr>
          <w:rFonts w:ascii="Calibri" w:hAnsi="Calibri"/>
          <w:b w:val="0"/>
          <w:i w:val="0"/>
          <w:color w:val="20262E"/>
          <w:sz w:val="22"/>
        </w:rPr>
        <w:t>Supervisor mobile experience</w:t>
      </w:r>
    </w:p>
    <w:p>
      <w:pPr>
        <w:spacing w:after="80" w:line="300" w:lineRule="auto"/>
        <w:numPr>
          <w:ilvl w:val="0"/>
          <w:numId w:val="10"/>
        </w:numPr>
      </w:pPr>
      <w:r>
        <w:rPr>
          <w:rFonts w:ascii="Calibri" w:hAnsi="Calibri"/>
          <w:b w:val="0"/>
          <w:i w:val="0"/>
          <w:color w:val="20262E"/>
          <w:sz w:val="22"/>
        </w:rPr>
        <w:t>Estimate variance by room, category, and vendor</w:t>
      </w:r>
    </w:p>
    <w:p>
      <w:pPr>
        <w:spacing w:after="80" w:line="300" w:lineRule="auto"/>
        <w:numPr>
          <w:ilvl w:val="0"/>
          <w:numId w:val="10"/>
        </w:numPr>
      </w:pPr>
      <w:r>
        <w:rPr>
          <w:rFonts w:ascii="Calibri" w:hAnsi="Calibri"/>
          <w:b w:val="0"/>
          <w:i w:val="0"/>
          <w:color w:val="20262E"/>
          <w:sz w:val="22"/>
        </w:rPr>
        <w:t>Vendor performance and lead-time reporting</w:t>
      </w:r>
    </w:p>
    <w:p>
      <w:pPr>
        <w:spacing w:after="80" w:line="300" w:lineRule="auto"/>
        <w:numPr>
          <w:ilvl w:val="0"/>
          <w:numId w:val="10"/>
        </w:numPr>
      </w:pPr>
      <w:r>
        <w:rPr>
          <w:rFonts w:ascii="Calibri" w:hAnsi="Calibri"/>
          <w:b w:val="0"/>
          <w:i w:val="0"/>
          <w:color w:val="20262E"/>
          <w:sz w:val="22"/>
        </w:rPr>
        <w:t>Project completion and profitability benchmarks</w:t>
      </w:r>
    </w:p>
    <w:p>
      <w:pPr>
        <w:pStyle w:val="Heading1"/>
      </w:pPr>
      <w:r>
        <w:t>19. Acceptance checklist</w:t>
      </w:r>
    </w:p>
    <w:p>
      <w:pPr>
        <w:widowControl/>
      </w:pPr>
      <w:r>
        <w:rPr>
          <w:rFonts w:ascii="Calibri" w:hAnsi="Calibri"/>
          <w:b w:val="0"/>
          <w:i w:val="0"/>
          <w:color w:val="20262E"/>
          <w:sz w:val="22"/>
        </w:rPr>
        <w:t>Before treating a deployment as ready for studio use, confirm:</w:t>
      </w:r>
    </w:p>
    <w:p>
      <w:pPr>
        <w:spacing w:after="80" w:line="300" w:lineRule="auto"/>
        <w:numPr>
          <w:ilvl w:val="0"/>
          <w:numId w:val="10"/>
        </w:numPr>
      </w:pPr>
      <w:r>
        <w:rPr>
          <w:rFonts w:ascii="Calibri" w:hAnsi="Calibri"/>
          <w:b w:val="0"/>
          <w:i w:val="0"/>
          <w:color w:val="20262E"/>
          <w:sz w:val="22"/>
        </w:rPr>
        <w:t>production access is restricted to approved users;</w:t>
      </w:r>
    </w:p>
    <w:p>
      <w:pPr>
        <w:spacing w:after="80" w:line="300" w:lineRule="auto"/>
        <w:numPr>
          <w:ilvl w:val="0"/>
          <w:numId w:val="10"/>
        </w:numPr>
      </w:pPr>
      <w:r>
        <w:rPr>
          <w:rFonts w:ascii="Calibri" w:hAnsi="Calibri"/>
          <w:b w:val="0"/>
          <w:i w:val="0"/>
          <w:color w:val="20262E"/>
          <w:sz w:val="22"/>
        </w:rPr>
        <w:t>studio name, address, currency, tax label, rate, and invoice sequence are set;</w:t>
      </w:r>
    </w:p>
    <w:p>
      <w:pPr>
        <w:spacing w:after="80" w:line="300" w:lineRule="auto"/>
        <w:numPr>
          <w:ilvl w:val="0"/>
          <w:numId w:val="10"/>
        </w:numPr>
      </w:pPr>
      <w:r>
        <w:rPr>
          <w:rFonts w:ascii="Calibri" w:hAnsi="Calibri"/>
          <w:b w:val="0"/>
          <w:i w:val="0"/>
          <w:color w:val="20262E"/>
          <w:sz w:val="22"/>
        </w:rPr>
        <w:t>supervisors and vendor categories are configured;</w:t>
      </w:r>
    </w:p>
    <w:p>
      <w:pPr>
        <w:spacing w:after="80" w:line="300" w:lineRule="auto"/>
        <w:numPr>
          <w:ilvl w:val="0"/>
          <w:numId w:val="10"/>
        </w:numPr>
      </w:pPr>
      <w:r>
        <w:rPr>
          <w:rFonts w:ascii="Calibri" w:hAnsi="Calibri"/>
          <w:b w:val="0"/>
          <w:i w:val="0"/>
          <w:color w:val="20262E"/>
          <w:sz w:val="22"/>
        </w:rPr>
        <w:t>one test project has completed the rough-estimate workflow;</w:t>
      </w:r>
    </w:p>
    <w:p>
      <w:pPr>
        <w:spacing w:after="80" w:line="300" w:lineRule="auto"/>
        <w:numPr>
          <w:ilvl w:val="0"/>
          <w:numId w:val="10"/>
        </w:numPr>
      </w:pPr>
      <w:r>
        <w:rPr>
          <w:rFonts w:ascii="Calibri" w:hAnsi="Calibri"/>
          <w:b w:val="0"/>
          <w:i w:val="0"/>
          <w:color w:val="20262E"/>
          <w:sz w:val="22"/>
        </w:rPr>
        <w:t>one detailed BOQ has been approved and revised;</w:t>
      </w:r>
    </w:p>
    <w:p>
      <w:pPr>
        <w:spacing w:after="80" w:line="300" w:lineRule="auto"/>
        <w:numPr>
          <w:ilvl w:val="0"/>
          <w:numId w:val="10"/>
        </w:numPr>
      </w:pPr>
      <w:r>
        <w:rPr>
          <w:rFonts w:ascii="Calibri" w:hAnsi="Calibri"/>
          <w:b w:val="0"/>
          <w:i w:val="0"/>
          <w:color w:val="20262E"/>
          <w:sz w:val="22"/>
        </w:rPr>
        <w:t>one multi-project vendor bill has been entered and allocated;</w:t>
      </w:r>
    </w:p>
    <w:p>
      <w:pPr>
        <w:spacing w:after="80" w:line="300" w:lineRule="auto"/>
        <w:numPr>
          <w:ilvl w:val="0"/>
          <w:numId w:val="10"/>
        </w:numPr>
      </w:pPr>
      <w:r>
        <w:rPr>
          <w:rFonts w:ascii="Calibri" w:hAnsi="Calibri"/>
          <w:b w:val="0"/>
          <w:i w:val="0"/>
          <w:color w:val="20262E"/>
          <w:sz w:val="22"/>
        </w:rPr>
        <w:t>one payment batch has been recorded and reversed in a test environment;</w:t>
      </w:r>
    </w:p>
    <w:p>
      <w:pPr>
        <w:spacing w:after="80" w:line="300" w:lineRule="auto"/>
        <w:numPr>
          <w:ilvl w:val="0"/>
          <w:numId w:val="10"/>
        </w:numPr>
      </w:pPr>
      <w:r>
        <w:rPr>
          <w:rFonts w:ascii="Calibri" w:hAnsi="Calibri"/>
          <w:b w:val="0"/>
          <w:i w:val="0"/>
          <w:color w:val="20262E"/>
          <w:sz w:val="22"/>
        </w:rPr>
        <w:t>one petty expense has moved through approval and reimbursement;</w:t>
      </w:r>
    </w:p>
    <w:p>
      <w:pPr>
        <w:spacing w:after="80" w:line="300" w:lineRule="auto"/>
        <w:numPr>
          <w:ilvl w:val="0"/>
          <w:numId w:val="10"/>
        </w:numPr>
      </w:pPr>
      <w:r>
        <w:rPr>
          <w:rFonts w:ascii="Calibri" w:hAnsi="Calibri"/>
          <w:b w:val="0"/>
          <w:i w:val="0"/>
          <w:color w:val="20262E"/>
          <w:sz w:val="22"/>
        </w:rPr>
        <w:t>one invoice has been issued, partially paid, and collected;</w:t>
      </w:r>
    </w:p>
    <w:p>
      <w:pPr>
        <w:spacing w:after="80" w:line="300" w:lineRule="auto"/>
        <w:numPr>
          <w:ilvl w:val="0"/>
          <w:numId w:val="10"/>
        </w:numPr>
      </w:pPr>
      <w:r>
        <w:rPr>
          <w:rFonts w:ascii="Calibri" w:hAnsi="Calibri"/>
          <w:b w:val="0"/>
          <w:i w:val="0"/>
          <w:color w:val="20262E"/>
          <w:sz w:val="22"/>
        </w:rPr>
        <w:t>backup export and additive merge have been tested;</w:t>
      </w:r>
    </w:p>
    <w:p>
      <w:pPr>
        <w:spacing w:after="80" w:line="300" w:lineRule="auto"/>
        <w:numPr>
          <w:ilvl w:val="0"/>
          <w:numId w:val="10"/>
        </w:numPr>
      </w:pPr>
      <w:r>
        <w:rPr>
          <w:rFonts w:ascii="Calibri" w:hAnsi="Calibri"/>
          <w:b w:val="0"/>
          <w:i w:val="0"/>
          <w:color w:val="20262E"/>
          <w:sz w:val="22"/>
        </w:rPr>
        <w:t>AR, AP, cost forecast, and cash totals have been independently checked;</w:t>
      </w:r>
    </w:p>
    <w:p>
      <w:pPr>
        <w:spacing w:after="80" w:line="300" w:lineRule="auto"/>
        <w:numPr>
          <w:ilvl w:val="0"/>
          <w:numId w:val="10"/>
        </w:numPr>
      </w:pPr>
      <w:r>
        <w:rPr>
          <w:rFonts w:ascii="Calibri" w:hAnsi="Calibri"/>
          <w:b w:val="0"/>
          <w:i w:val="0"/>
          <w:color w:val="20262E"/>
          <w:sz w:val="22"/>
        </w:rPr>
        <w:t>users understand that issued financial records are corrected by reversal or controlled adjustment, not deletion; and</w:t>
      </w:r>
    </w:p>
    <w:p>
      <w:pPr>
        <w:spacing w:after="80" w:line="300" w:lineRule="auto"/>
        <w:numPr>
          <w:ilvl w:val="0"/>
          <w:numId w:val="10"/>
        </w:numPr>
      </w:pPr>
      <w:r>
        <w:rPr>
          <w:rFonts w:ascii="Calibri" w:hAnsi="Calibri"/>
          <w:b w:val="0"/>
          <w:i w:val="0"/>
          <w:color w:val="20262E"/>
          <w:sz w:val="22"/>
        </w:rPr>
        <w:t>a named person owns weekly backup and exception review.</w:t>
      </w:r>
    </w:p>
    <w:p>
      <w:pPr>
        <w:pStyle w:val="Heading1"/>
      </w:pPr>
      <w:r>
        <w:t>20. Glossary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Term</w:t>
            </w:r>
          </w:p>
        </w:tc>
        <w:tc>
          <w:tcPr>
            <w:tcW w:type="dxa" w:w="6660"/>
            <w:tcMar>
              <w:top w:w="80" w:type="dxa"/>
              <w:left w:w="120" w:type="dxa"/>
              <w:bottom w:w="80" w:type="dxa"/>
              <w:right w:w="120" w:type="dxa"/>
            </w:tcMar>
            <w:vAlign w:val="center"/>
            <w:shd w:fill="E8EEF5"/>
          </w:tcPr>
          <w:p>
            <w:pPr>
              <w:spacing w:before="0" w:after="0" w:line="264" w:lineRule="auto"/>
              <w:jc w:val="left"/>
            </w:pPr>
            <w:r>
              <w:rPr>
                <w:rFonts w:ascii="Calibri" w:hAnsi="Calibri"/>
                <w:b/>
                <w:i w:val="0"/>
                <w:color w:val="1F3A5F"/>
                <w:sz w:val="19"/>
              </w:rPr>
              <w:t>Meaning</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AR</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Accounts receivable: client invoice balances still due</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AP</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Accounts payable: vendor expense balances and approved petty reimbursements still due</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BOQ</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Bill of quantities: measured estimate lines by room, item, quantity, and rate</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Baseline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Approved estimate used to compare forecast and actual cost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Commitment</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Approved or ordered request value expected to become cost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D1</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Cloudflare's SQL database used by the hosted application</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Expense line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Project cost record and unit against which vendor payment is allocated</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GRN</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Goods-receipt note; recommended future delivery-control document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Material request</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Site demand raised by a supervisor for a specific project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Payment allocation</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Link between cash movement and the invoice or expense it settles</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Petty expense</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Small site expense requiring approval and possible reimbursement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Reversal</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Non-destructive cancellation of a posted payment</w:t>
            </w:r>
          </w:p>
        </w:tc>
      </w:tr>
      <w:tr>
        <w:trPr>
          <w:cantSplit/>
        </w:trPr>
        <w:tc>
          <w:tcPr>
            <w:tcW w:type="dxa" w:w="270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Vendor bill</w:t>
            </w:r>
          </w:p>
        </w:tc>
        <w:tc>
          <w:tcPr>
            <w:tcW w:type="dxa" w:w="6660"/>
            <w:tcMar>
              <w:top w:w="80" w:type="dxa"/>
              <w:left w:w="120" w:type="dxa"/>
              <w:bottom w:w="80" w:type="dxa"/>
              <w:right w:w="120" w:type="dxa"/>
            </w:tcMar>
            <w:vAlign w:val="center"/>
          </w:tcPr>
          <w:p>
            <w:pPr>
              <w:spacing w:before="0" w:after="0" w:line="264" w:lineRule="auto"/>
              <w:jc w:val="left"/>
            </w:pPr>
            <w:r>
              <w:rPr>
                <w:rFonts w:ascii="Calibri" w:hAnsi="Calibri"/>
                <w:b w:val="0"/>
                <w:i w:val="0"/>
                <w:color w:val="20262E"/>
                <w:sz w:val="19"/>
              </w:rPr>
              <w:t>Supplier invoice header containing one or more project allocation lines</w:t>
            </w:r>
          </w:p>
        </w:tc>
      </w:tr>
    </w:tbl>
    <w:p>
      <w:pPr>
        <w:spacing w:before="0" w:after="40"/>
      </w:pPr>
    </w:p>
    <w:p>
      <w:pPr>
        <w:pStyle w:val="Heading1"/>
      </w:pPr>
      <w:r>
        <w:t>21. Repository reference</w:t>
      </w:r>
    </w:p>
    <w:p>
      <w:pPr>
        <w:widowControl/>
      </w:pPr>
      <w:r>
        <w:rPr>
          <w:rFonts w:ascii="Calibri" w:hAnsi="Calibri"/>
          <w:b w:val="0"/>
          <w:i w:val="0"/>
          <w:color w:val="20262E"/>
          <w:sz w:val="22"/>
        </w:rPr>
        <w:t>Key implementation surfaces:</w:t>
      </w:r>
    </w:p>
    <w:p>
      <w:pPr>
        <w:spacing w:after="80" w:line="300" w:lineRule="auto"/>
        <w:numPr>
          <w:ilvl w:val="0"/>
          <w:numId w:val="10"/>
        </w:numPr>
      </w:pPr>
      <w:r>
        <w:rPr>
          <w:rFonts w:ascii="Courier New" w:hAnsi="Courier New"/>
          <w:color w:val="1F4D78"/>
          <w:sz w:val="21"/>
          <w:shd w:fill="F2F4F7"/>
        </w:rPr>
        <w:t>src/App.jsx</w:t>
      </w:r>
      <w:r>
        <w:rPr>
          <w:rFonts w:ascii="Calibri" w:hAnsi="Calibri"/>
          <w:b w:val="0"/>
          <w:i w:val="0"/>
          <w:color w:val="20262E"/>
          <w:sz w:val="22"/>
        </w:rPr>
        <w:t>: application composition and shared state</w:t>
      </w:r>
    </w:p>
    <w:p>
      <w:pPr>
        <w:spacing w:after="80" w:line="300" w:lineRule="auto"/>
        <w:numPr>
          <w:ilvl w:val="0"/>
          <w:numId w:val="10"/>
        </w:numPr>
      </w:pPr>
      <w:r>
        <w:rPr>
          <w:rFonts w:ascii="Courier New" w:hAnsi="Courier New"/>
          <w:color w:val="1F4D78"/>
          <w:sz w:val="21"/>
          <w:shd w:fill="F2F4F7"/>
        </w:rPr>
        <w:t>src/shared.js</w:t>
      </w:r>
      <w:r>
        <w:rPr>
          <w:rFonts w:ascii="Calibri" w:hAnsi="Calibri"/>
          <w:b w:val="0"/>
          <w:i w:val="0"/>
          <w:color w:val="20262E"/>
          <w:sz w:val="22"/>
        </w:rPr>
        <w:t>: domain rules, normalization, calculations, and persistence</w:t>
      </w:r>
    </w:p>
    <w:p>
      <w:pPr>
        <w:spacing w:after="80" w:line="300" w:lineRule="auto"/>
        <w:numPr>
          <w:ilvl w:val="0"/>
          <w:numId w:val="10"/>
        </w:numPr>
      </w:pPr>
      <w:r>
        <w:rPr>
          <w:rFonts w:ascii="Courier New" w:hAnsi="Courier New"/>
          <w:color w:val="1F4D78"/>
          <w:sz w:val="21"/>
          <w:shd w:fill="F2F4F7"/>
        </w:rPr>
        <w:t>src/components/</w:t>
      </w:r>
      <w:r>
        <w:rPr>
          <w:rFonts w:ascii="Calibri" w:hAnsi="Calibri"/>
          <w:b w:val="0"/>
          <w:i w:val="0"/>
          <w:color w:val="20262E"/>
          <w:sz w:val="22"/>
        </w:rPr>
        <w:t>: functional modules</w:t>
      </w:r>
    </w:p>
    <w:p>
      <w:pPr>
        <w:spacing w:after="80" w:line="300" w:lineRule="auto"/>
        <w:numPr>
          <w:ilvl w:val="0"/>
          <w:numId w:val="10"/>
        </w:numPr>
      </w:pPr>
      <w:r>
        <w:rPr>
          <w:rFonts w:ascii="Courier New" w:hAnsi="Courier New"/>
          <w:color w:val="1F4D78"/>
          <w:sz w:val="21"/>
          <w:shd w:fill="F2F4F7"/>
        </w:rPr>
        <w:t>app/api/ledger/route.ts</w:t>
      </w:r>
      <w:r>
        <w:rPr>
          <w:rFonts w:ascii="Calibri" w:hAnsi="Calibri"/>
          <w:b w:val="0"/>
          <w:i w:val="0"/>
          <w:color w:val="20262E"/>
          <w:sz w:val="22"/>
        </w:rPr>
        <w:t>: authenticated cloud ledger API</w:t>
      </w:r>
    </w:p>
    <w:p>
      <w:pPr>
        <w:spacing w:after="80" w:line="300" w:lineRule="auto"/>
        <w:numPr>
          <w:ilvl w:val="0"/>
          <w:numId w:val="10"/>
        </w:numPr>
      </w:pPr>
      <w:r>
        <w:rPr>
          <w:rFonts w:ascii="Courier New" w:hAnsi="Courier New"/>
          <w:color w:val="1F4D78"/>
          <w:sz w:val="21"/>
          <w:shd w:fill="F2F4F7"/>
        </w:rPr>
        <w:t>app/chatgpt-auth.ts</w:t>
      </w:r>
      <w:r>
        <w:rPr>
          <w:rFonts w:ascii="Calibri" w:hAnsi="Calibri"/>
          <w:b w:val="0"/>
          <w:i w:val="0"/>
          <w:color w:val="20262E"/>
          <w:sz w:val="22"/>
        </w:rPr>
        <w:t>: hosted identity integration</w:t>
      </w:r>
    </w:p>
    <w:p>
      <w:pPr>
        <w:spacing w:after="80" w:line="300" w:lineRule="auto"/>
        <w:numPr>
          <w:ilvl w:val="0"/>
          <w:numId w:val="10"/>
        </w:numPr>
      </w:pPr>
      <w:r>
        <w:rPr>
          <w:rFonts w:ascii="Courier New" w:hAnsi="Courier New"/>
          <w:color w:val="1F4D78"/>
          <w:sz w:val="21"/>
          <w:shd w:fill="F2F4F7"/>
        </w:rPr>
        <w:t>drizzle/0000_studio_ledger_cloud.sql</w:t>
      </w:r>
      <w:r>
        <w:rPr>
          <w:rFonts w:ascii="Calibri" w:hAnsi="Calibri"/>
          <w:b w:val="0"/>
          <w:i w:val="0"/>
          <w:color w:val="20262E"/>
          <w:sz w:val="22"/>
        </w:rPr>
        <w:t>: active D1 migration</w:t>
      </w:r>
    </w:p>
    <w:p>
      <w:pPr>
        <w:spacing w:after="80" w:line="300" w:lineRule="auto"/>
        <w:numPr>
          <w:ilvl w:val="0"/>
          <w:numId w:val="10"/>
        </w:numPr>
      </w:pPr>
      <w:r>
        <w:rPr>
          <w:rFonts w:ascii="Courier New" w:hAnsi="Courier New"/>
          <w:color w:val="1F4D78"/>
          <w:sz w:val="21"/>
          <w:shd w:fill="F2F4F7"/>
        </w:rPr>
        <w:t>db/schema.sql</w:t>
      </w:r>
      <w:r>
        <w:rPr>
          <w:rFonts w:ascii="Calibri" w:hAnsi="Calibri"/>
          <w:b w:val="0"/>
          <w:i w:val="0"/>
          <w:color w:val="20262E"/>
          <w:sz w:val="22"/>
        </w:rPr>
        <w:t>: future normalized relational blueprint</w:t>
      </w:r>
    </w:p>
    <w:p>
      <w:pPr>
        <w:spacing w:after="80" w:line="300" w:lineRule="auto"/>
        <w:numPr>
          <w:ilvl w:val="0"/>
          <w:numId w:val="10"/>
        </w:numPr>
      </w:pPr>
      <w:r>
        <w:rPr>
          <w:rFonts w:ascii="Courier New" w:hAnsi="Courier New"/>
          <w:color w:val="1F4D78"/>
          <w:sz w:val="21"/>
          <w:shd w:fill="F2F4F7"/>
        </w:rPr>
        <w:t>worker/index.ts</w:t>
      </w:r>
      <w:r>
        <w:rPr>
          <w:rFonts w:ascii="Calibri" w:hAnsi="Calibri"/>
          <w:b w:val="0"/>
          <w:i w:val="0"/>
          <w:color w:val="20262E"/>
          <w:sz w:val="22"/>
        </w:rPr>
        <w:t>: Cloudflare worker entry</w:t>
      </w:r>
    </w:p>
    <w:p>
      <w:pPr>
        <w:spacing w:after="80" w:line="300" w:lineRule="auto"/>
        <w:numPr>
          <w:ilvl w:val="0"/>
          <w:numId w:val="10"/>
        </w:numPr>
      </w:pPr>
      <w:r>
        <w:rPr>
          <w:rFonts w:ascii="Courier New" w:hAnsi="Courier New"/>
          <w:color w:val="1F4D78"/>
          <w:sz w:val="21"/>
          <w:shd w:fill="F2F4F7"/>
        </w:rPr>
        <w:t>test/shared.test.js</w:t>
      </w:r>
      <w:r>
        <w:rPr>
          <w:rFonts w:ascii="Calibri" w:hAnsi="Calibri"/>
          <w:b w:val="0"/>
          <w:i w:val="0"/>
          <w:color w:val="20262E"/>
          <w:sz w:val="22"/>
        </w:rPr>
        <w:t>: automated domain tests</w:t>
      </w:r>
    </w:p>
    <w:p>
      <w:pPr>
        <w:spacing w:after="80" w:line="300" w:lineRule="auto"/>
        <w:numPr>
          <w:ilvl w:val="0"/>
          <w:numId w:val="10"/>
        </w:numPr>
      </w:pPr>
      <w:r>
        <w:rPr>
          <w:rFonts w:ascii="Courier New" w:hAnsi="Courier New"/>
          <w:color w:val="1F4D78"/>
          <w:sz w:val="21"/>
          <w:shd w:fill="F2F4F7"/>
        </w:rPr>
        <w:t>.openai/hosting.json</w:t>
      </w:r>
      <w:r>
        <w:rPr>
          <w:rFonts w:ascii="Calibri" w:hAnsi="Calibri"/>
          <w:b w:val="0"/>
          <w:i w:val="0"/>
          <w:color w:val="20262E"/>
          <w:sz w:val="22"/>
        </w:rPr>
        <w:t>: logical Sites resource bindings</w:t>
      </w:r>
    </w:p>
    <w:p>
      <w:pPr>
        <w:spacing w:after="80"/>
      </w:pPr>
      <w:r>
        <w:rPr>
          <w:rFonts w:ascii="Calibri" w:hAnsi="Calibri"/>
          <w:b/>
          <w:i w:val="0"/>
          <w:color w:val="20262E"/>
          <w:sz w:val="22"/>
        </w:rPr>
        <w:t>Document owner:</w:t>
      </w:r>
      <w:r>
        <w:rPr>
          <w:rFonts w:ascii="Calibri" w:hAnsi="Calibri"/>
          <w:b w:val="0"/>
          <w:i w:val="0"/>
          <w:color w:val="20262E"/>
          <w:sz w:val="22"/>
        </w:rPr>
        <w:t xml:space="preserve"> Studio Ledger product owner</w:t>
      </w:r>
    </w:p>
    <w:p>
      <w:pPr>
        <w:spacing w:after="80"/>
      </w:pPr>
      <w:r>
        <w:rPr>
          <w:rFonts w:ascii="Calibri" w:hAnsi="Calibri"/>
          <w:b/>
          <w:i w:val="0"/>
          <w:color w:val="20262E"/>
          <w:sz w:val="22"/>
        </w:rPr>
        <w:t>Review cadence:</w:t>
      </w:r>
      <w:r>
        <w:rPr>
          <w:rFonts w:ascii="Calibri" w:hAnsi="Calibri"/>
          <w:b w:val="0"/>
          <w:i w:val="0"/>
          <w:color w:val="20262E"/>
          <w:sz w:val="22"/>
        </w:rPr>
        <w:t xml:space="preserve"> Review after each material release and at least quarterly</w:t>
      </w:r>
    </w:p>
    <w:p>
      <w:pPr>
        <w:spacing w:after="80"/>
      </w:pPr>
      <w:r>
        <w:rPr>
          <w:rFonts w:ascii="Calibri" w:hAnsi="Calibri"/>
          <w:b/>
          <w:i w:val="0"/>
          <w:color w:val="20262E"/>
          <w:sz w:val="22"/>
        </w:rPr>
        <w:t>Change policy:</w:t>
      </w:r>
      <w:r>
        <w:rPr>
          <w:rFonts w:ascii="Calibri" w:hAnsi="Calibri"/>
          <w:b w:val="0"/>
          <w:i w:val="0"/>
          <w:color w:val="20262E"/>
          <w:sz w:val="22"/>
        </w:rPr>
        <w:t xml:space="preserve"> Update this document whenever business rules, persistence,</w:t>
      </w:r>
    </w:p>
    <w:p>
      <w:pPr>
        <w:widowControl/>
      </w:pPr>
      <w:r>
        <w:rPr>
          <w:rFonts w:ascii="Calibri" w:hAnsi="Calibri"/>
          <w:b w:val="0"/>
          <w:i w:val="0"/>
          <w:color w:val="20262E"/>
          <w:sz w:val="22"/>
        </w:rPr>
        <w:t>authentication, financial correction controls, or deployment procedures change.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875"/>
        <w:sz w:val="18"/>
      </w:rPr>
      <w:t xml:space="preserve">Studio Ledger  •  Version 2.0  •  </w:t>
    </w:r>
    <w:r>
      <w:rPr>
        <w:rFonts w:ascii="Calibri" w:hAnsi="Calibri"/>
        <w:color w:val="5E68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C7D0DA"/>
      </w:pBdr>
    </w:pPr>
    <w:r>
      <w:rPr>
        <w:rFonts w:ascii="Calibri" w:hAnsi="Calibri"/>
        <w:b/>
        <w:i w:val="0"/>
        <w:color w:val="5E6875"/>
        <w:sz w:val="17"/>
      </w:rPr>
      <w:t>STUDIO LEDGER  /  SOFTWARE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4">
    <w:abstractNumId w:val="23"/>
  </w:num>
  <w:abstractNum w:abstractNumId="2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E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Ledger Software Documentation</dc:title>
  <dc:subject>As-built functional and technical product documentation</dc:subject>
  <dc:creator>Studio Ledger Product Team</dc:creator>
  <cp:keywords>Studio Ledger, interior design, procurement, estimates, receivables, payables</cp:keywords>
  <dc:description>Generated from the repository documentation source.</dc:description>
  <cp:lastModifiedBy/>
  <cp:revision>1</cp:revision>
  <dcterms:created xsi:type="dcterms:W3CDTF">2013-12-23T23:15:00Z</dcterms:created>
  <dcterms:modified xsi:type="dcterms:W3CDTF">2013-12-23T23:15:00Z</dcterms:modified>
  <cp:category/>
</cp:coreProperties>
</file>