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28" w:rsidRDefault="00C020F2">
      <w:pPr>
        <w:pStyle w:val="a3"/>
      </w:pPr>
      <w:r>
        <w:t>NBA</w:t>
      </w:r>
    </w:p>
    <w:p w:rsidR="00BC0B28" w:rsidRDefault="00C020F2">
      <w:pPr>
        <w:pStyle w:val="normal"/>
      </w:pPr>
      <w:r>
        <w:t>Αντώνης</w:t>
      </w:r>
      <w:r w:rsidR="00094D37" w:rsidRPr="00094D37">
        <w:t xml:space="preserve"> </w:t>
      </w:r>
      <w:proofErr w:type="spellStart"/>
      <w:r>
        <w:t>Αποστολούδης</w:t>
      </w:r>
      <w:proofErr w:type="spellEnd"/>
      <w:r>
        <w:t xml:space="preserve">  3897 antoapos@csd.auth.gr</w:t>
      </w:r>
    </w:p>
    <w:p w:rsidR="00BC0B28" w:rsidRDefault="00C020F2">
      <w:pPr>
        <w:pStyle w:val="normal"/>
      </w:pPr>
      <w:r>
        <w:t>Ασημάκης Κύδρος 3881  asimakis@csd.auth.gr</w:t>
      </w:r>
    </w:p>
    <w:p w:rsidR="00BC0B28" w:rsidRDefault="00C020F2">
      <w:pPr>
        <w:pStyle w:val="1"/>
        <w:numPr>
          <w:ilvl w:val="0"/>
          <w:numId w:val="1"/>
        </w:numPr>
      </w:pPr>
      <w:r>
        <w:t>Αναγκαίοι Περιορισμοί (</w:t>
      </w:r>
      <w:proofErr w:type="spellStart"/>
      <w:r>
        <w:t>necessary</w:t>
      </w:r>
      <w:proofErr w:type="spellEnd"/>
      <w:r>
        <w:t>)</w:t>
      </w:r>
    </w:p>
    <w:tbl>
      <w:tblPr>
        <w:tblStyle w:val="a5"/>
        <w:tblW w:w="7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685"/>
        <w:gridCol w:w="3330"/>
      </w:tblGrid>
      <w:tr w:rsidR="00BC0B28">
        <w:trPr>
          <w:cantSplit/>
          <w:tblHeader/>
        </w:trPr>
        <w:tc>
          <w:tcPr>
            <w:tcW w:w="3685" w:type="dxa"/>
            <w:shd w:val="clear" w:color="auto" w:fill="B4C6E7"/>
            <w:vAlign w:val="center"/>
          </w:tcPr>
          <w:p w:rsidR="00BC0B28" w:rsidRDefault="00C020F2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Τύπος </w:t>
            </w:r>
            <w:proofErr w:type="spellStart"/>
            <w:r>
              <w:rPr>
                <w:b/>
              </w:rPr>
              <w:t>restriction</w:t>
            </w:r>
            <w:proofErr w:type="spellEnd"/>
          </w:p>
        </w:tc>
        <w:tc>
          <w:tcPr>
            <w:tcW w:w="3330" w:type="dxa"/>
            <w:shd w:val="clear" w:color="auto" w:fill="B4C6E7"/>
          </w:tcPr>
          <w:p w:rsidR="00BC0B28" w:rsidRDefault="00C020F2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Ποσότητα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</w:pPr>
            <w:proofErr w:type="spellStart"/>
            <w:r>
              <w:t>someValuesFrom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</w:pPr>
            <w:r>
              <w:t>2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</w:pPr>
            <w:proofErr w:type="spellStart"/>
            <w:r>
              <w:t>allValuesFrom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</w:pPr>
            <w:r>
              <w:t>10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</w:pPr>
            <w:proofErr w:type="spellStart"/>
            <w:r>
              <w:t>hasValue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</w:pPr>
            <w:r>
              <w:t>0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</w:pPr>
            <w:proofErr w:type="spellStart"/>
            <w:r>
              <w:t>minCardinality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</w:pPr>
            <w:r>
              <w:t>0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</w:pPr>
            <w:proofErr w:type="spellStart"/>
            <w:r>
              <w:t>maxCardinality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</w:pPr>
            <w:r>
              <w:t>0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</w:pPr>
            <w:proofErr w:type="spellStart"/>
            <w:r>
              <w:t>cardinality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</w:pPr>
            <w:r>
              <w:t>0</w:t>
            </w:r>
          </w:p>
        </w:tc>
      </w:tr>
    </w:tbl>
    <w:p w:rsidR="00BC0B28" w:rsidRDefault="00C020F2">
      <w:pPr>
        <w:pStyle w:val="1"/>
        <w:numPr>
          <w:ilvl w:val="0"/>
          <w:numId w:val="1"/>
        </w:numPr>
      </w:pPr>
      <w:r>
        <w:t>Ικανοί και Αναγκαίοι Περιορισμοί (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>)</w:t>
      </w:r>
    </w:p>
    <w:tbl>
      <w:tblPr>
        <w:tblStyle w:val="a6"/>
        <w:tblW w:w="10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685"/>
        <w:gridCol w:w="3330"/>
        <w:gridCol w:w="3330"/>
      </w:tblGrid>
      <w:tr w:rsidR="00BC0B28">
        <w:trPr>
          <w:cantSplit/>
          <w:tblHeader/>
        </w:trPr>
        <w:tc>
          <w:tcPr>
            <w:tcW w:w="3685" w:type="dxa"/>
            <w:shd w:val="clear" w:color="auto" w:fill="B4C6E7"/>
            <w:vAlign w:val="center"/>
          </w:tcPr>
          <w:p w:rsidR="00BC0B28" w:rsidRDefault="00C020F2">
            <w:pPr>
              <w:pStyle w:val="normal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Τύπος </w:t>
            </w:r>
            <w:proofErr w:type="spellStart"/>
            <w:r>
              <w:rPr>
                <w:b/>
              </w:rPr>
              <w:t>restriction</w:t>
            </w:r>
            <w:proofErr w:type="spellEnd"/>
          </w:p>
        </w:tc>
        <w:tc>
          <w:tcPr>
            <w:tcW w:w="3330" w:type="dxa"/>
            <w:shd w:val="clear" w:color="auto" w:fill="B4C6E7"/>
            <w:vAlign w:val="center"/>
          </w:tcPr>
          <w:p w:rsidR="00BC0B28" w:rsidRDefault="00C020F2">
            <w:pPr>
              <w:pStyle w:val="normal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Ποσότητα</w:t>
            </w:r>
          </w:p>
        </w:tc>
        <w:tc>
          <w:tcPr>
            <w:tcW w:w="3330" w:type="dxa"/>
            <w:shd w:val="clear" w:color="auto" w:fill="B4C6E7"/>
          </w:tcPr>
          <w:p w:rsidR="00BC0B28" w:rsidRDefault="00C020F2">
            <w:pPr>
              <w:pStyle w:val="normal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Αριθμός αντικειμένων που κατηγοριοποιούνται λόγω του περιορισμού μετά από </w:t>
            </w:r>
            <w:proofErr w:type="spellStart"/>
            <w:r>
              <w:rPr>
                <w:b/>
              </w:rPr>
              <w:t>reasoning</w:t>
            </w:r>
            <w:proofErr w:type="spellEnd"/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  <w:spacing w:after="0"/>
            </w:pPr>
            <w:proofErr w:type="spellStart"/>
            <w:r>
              <w:t>someValuesFrom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  <w:spacing w:after="0"/>
            </w:pPr>
            <w:r>
              <w:t>14</w:t>
            </w:r>
          </w:p>
        </w:tc>
        <w:tc>
          <w:tcPr>
            <w:tcW w:w="3330" w:type="dxa"/>
          </w:tcPr>
          <w:p w:rsidR="00BC0B28" w:rsidRDefault="00C020F2">
            <w:pPr>
              <w:pStyle w:val="normal"/>
              <w:spacing w:after="0"/>
            </w:pPr>
            <w:r>
              <w:t>48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  <w:spacing w:after="0"/>
            </w:pPr>
            <w:proofErr w:type="spellStart"/>
            <w:r>
              <w:t>allValuesFrom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  <w:spacing w:after="0"/>
            </w:pPr>
            <w:r>
              <w:t>0</w:t>
            </w:r>
          </w:p>
        </w:tc>
        <w:tc>
          <w:tcPr>
            <w:tcW w:w="3330" w:type="dxa"/>
          </w:tcPr>
          <w:p w:rsidR="00BC0B28" w:rsidRDefault="00C020F2">
            <w:pPr>
              <w:pStyle w:val="normal"/>
              <w:spacing w:after="0"/>
            </w:pPr>
            <w:r>
              <w:t>0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  <w:spacing w:after="0"/>
            </w:pPr>
            <w:proofErr w:type="spellStart"/>
            <w:r>
              <w:t>hasValue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  <w:spacing w:after="0"/>
            </w:pPr>
            <w:r>
              <w:t>5</w:t>
            </w:r>
          </w:p>
        </w:tc>
        <w:tc>
          <w:tcPr>
            <w:tcW w:w="3330" w:type="dxa"/>
          </w:tcPr>
          <w:p w:rsidR="00BC0B28" w:rsidRDefault="00C020F2">
            <w:pPr>
              <w:pStyle w:val="normal"/>
              <w:spacing w:after="0"/>
            </w:pPr>
            <w:r>
              <w:t>7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  <w:spacing w:after="0"/>
            </w:pPr>
            <w:proofErr w:type="spellStart"/>
            <w:r>
              <w:t>minCardinality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  <w:spacing w:after="0"/>
            </w:pPr>
            <w:r>
              <w:t>0</w:t>
            </w:r>
          </w:p>
        </w:tc>
        <w:tc>
          <w:tcPr>
            <w:tcW w:w="3330" w:type="dxa"/>
          </w:tcPr>
          <w:p w:rsidR="00BC0B28" w:rsidRDefault="00C020F2">
            <w:pPr>
              <w:pStyle w:val="normal"/>
              <w:spacing w:after="0"/>
            </w:pPr>
            <w:r>
              <w:t>0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  <w:spacing w:after="0"/>
            </w:pPr>
            <w:proofErr w:type="spellStart"/>
            <w:r>
              <w:t>maxCardinality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  <w:spacing w:after="0"/>
            </w:pPr>
            <w:r>
              <w:t>0</w:t>
            </w:r>
          </w:p>
        </w:tc>
        <w:tc>
          <w:tcPr>
            <w:tcW w:w="3330" w:type="dxa"/>
          </w:tcPr>
          <w:p w:rsidR="00BC0B28" w:rsidRDefault="00C020F2">
            <w:pPr>
              <w:pStyle w:val="normal"/>
              <w:spacing w:after="0"/>
            </w:pPr>
            <w:r>
              <w:t>0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  <w:spacing w:after="0"/>
            </w:pPr>
            <w:proofErr w:type="spellStart"/>
            <w:r>
              <w:t>cardinality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  <w:spacing w:after="0"/>
            </w:pPr>
            <w:r>
              <w:t>0</w:t>
            </w:r>
          </w:p>
        </w:tc>
        <w:tc>
          <w:tcPr>
            <w:tcW w:w="3330" w:type="dxa"/>
          </w:tcPr>
          <w:p w:rsidR="00BC0B28" w:rsidRDefault="00C020F2">
            <w:pPr>
              <w:pStyle w:val="normal"/>
              <w:spacing w:after="0"/>
            </w:pPr>
            <w:r>
              <w:t>0</w:t>
            </w:r>
          </w:p>
        </w:tc>
      </w:tr>
    </w:tbl>
    <w:p w:rsidR="00BC0B28" w:rsidRDefault="00BC0B28">
      <w:pPr>
        <w:pStyle w:val="normal"/>
      </w:pPr>
    </w:p>
    <w:p w:rsidR="00BC0B28" w:rsidRDefault="00C020F2">
      <w:pPr>
        <w:pStyle w:val="1"/>
        <w:numPr>
          <w:ilvl w:val="0"/>
          <w:numId w:val="1"/>
        </w:numPr>
      </w:pPr>
      <w:r>
        <w:t>Άλλες σχέσεις μεταξύ κλάσεων</w:t>
      </w:r>
    </w:p>
    <w:tbl>
      <w:tblPr>
        <w:tblStyle w:val="a7"/>
        <w:tblW w:w="7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685"/>
        <w:gridCol w:w="3330"/>
      </w:tblGrid>
      <w:tr w:rsidR="00BC0B28">
        <w:trPr>
          <w:cantSplit/>
          <w:tblHeader/>
        </w:trPr>
        <w:tc>
          <w:tcPr>
            <w:tcW w:w="3685" w:type="dxa"/>
            <w:shd w:val="clear" w:color="auto" w:fill="B4C6E7"/>
            <w:vAlign w:val="center"/>
          </w:tcPr>
          <w:p w:rsidR="00BC0B28" w:rsidRDefault="00C020F2">
            <w:pPr>
              <w:pStyle w:val="normal"/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Τύπος </w:t>
            </w:r>
          </w:p>
        </w:tc>
        <w:tc>
          <w:tcPr>
            <w:tcW w:w="3330" w:type="dxa"/>
            <w:shd w:val="clear" w:color="auto" w:fill="B4C6E7"/>
          </w:tcPr>
          <w:p w:rsidR="00BC0B28" w:rsidRDefault="00C020F2">
            <w:pPr>
              <w:pStyle w:val="normal"/>
              <w:spacing w:after="0"/>
              <w:jc w:val="center"/>
              <w:rPr>
                <w:b/>
              </w:rPr>
            </w:pPr>
            <w:r>
              <w:rPr>
                <w:b/>
              </w:rPr>
              <w:t>Ποσότητα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  <w:spacing w:after="0"/>
            </w:pPr>
            <w:proofErr w:type="spellStart"/>
            <w:r>
              <w:t>unionOf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  <w:spacing w:after="0"/>
            </w:pPr>
            <w:r>
              <w:t>5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  <w:spacing w:after="0"/>
            </w:pPr>
            <w:proofErr w:type="spellStart"/>
            <w:r>
              <w:t>intersectionOf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  <w:spacing w:after="0"/>
            </w:pPr>
            <w:r>
              <w:t>11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  <w:spacing w:after="0"/>
            </w:pPr>
            <w:proofErr w:type="spellStart"/>
            <w:r>
              <w:t>disjointWith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  <w:spacing w:after="0"/>
            </w:pPr>
            <w:r>
              <w:t>10</w:t>
            </w:r>
          </w:p>
        </w:tc>
      </w:tr>
    </w:tbl>
    <w:p w:rsidR="00BC0B28" w:rsidRDefault="00BC0B28">
      <w:pPr>
        <w:pStyle w:val="normal"/>
      </w:pPr>
    </w:p>
    <w:p w:rsidR="00BC0B28" w:rsidRDefault="00C020F2">
      <w:pPr>
        <w:pStyle w:val="1"/>
        <w:numPr>
          <w:ilvl w:val="0"/>
          <w:numId w:val="1"/>
        </w:numPr>
      </w:pPr>
      <w:r>
        <w:t xml:space="preserve">Ιδιότητες </w:t>
      </w:r>
    </w:p>
    <w:tbl>
      <w:tblPr>
        <w:tblStyle w:val="a8"/>
        <w:tblW w:w="7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685"/>
        <w:gridCol w:w="3330"/>
      </w:tblGrid>
      <w:tr w:rsidR="00BC0B28">
        <w:trPr>
          <w:cantSplit/>
          <w:tblHeader/>
        </w:trPr>
        <w:tc>
          <w:tcPr>
            <w:tcW w:w="3685" w:type="dxa"/>
            <w:shd w:val="clear" w:color="auto" w:fill="B4C6E7"/>
            <w:vAlign w:val="center"/>
          </w:tcPr>
          <w:p w:rsidR="00BC0B28" w:rsidRDefault="00C020F2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Τύπος Ιδιότητας</w:t>
            </w:r>
          </w:p>
        </w:tc>
        <w:tc>
          <w:tcPr>
            <w:tcW w:w="3330" w:type="dxa"/>
            <w:shd w:val="clear" w:color="auto" w:fill="B4C6E7"/>
            <w:vAlign w:val="center"/>
          </w:tcPr>
          <w:p w:rsidR="00BC0B28" w:rsidRDefault="00C020F2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Ποσότητα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</w:pPr>
            <w:proofErr w:type="spellStart"/>
            <w:r>
              <w:rPr>
                <w:color w:val="000000"/>
              </w:rPr>
              <w:t>SymmetricProperty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</w:pPr>
            <w:r>
              <w:t>5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</w:pPr>
            <w:proofErr w:type="spellStart"/>
            <w:r>
              <w:rPr>
                <w:color w:val="000000"/>
              </w:rPr>
              <w:t>TransitiveProperty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3330" w:type="dxa"/>
          </w:tcPr>
          <w:p w:rsidR="00BC0B28" w:rsidRDefault="00C020F2">
            <w:pPr>
              <w:pStyle w:val="normal"/>
            </w:pPr>
            <w:r>
              <w:t>5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</w:pPr>
            <w:proofErr w:type="spellStart"/>
            <w:r>
              <w:rPr>
                <w:color w:val="000000"/>
              </w:rPr>
              <w:t>inverseOf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3330" w:type="dxa"/>
          </w:tcPr>
          <w:p w:rsidR="00BC0B28" w:rsidRDefault="00C020F2">
            <w:pPr>
              <w:pStyle w:val="normal"/>
            </w:pPr>
            <w:r>
              <w:t>7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</w:pPr>
            <w:proofErr w:type="spellStart"/>
            <w:r>
              <w:rPr>
                <w:color w:val="000000"/>
              </w:rPr>
              <w:t>FunctionalProperty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</w:pPr>
            <w:r>
              <w:t>6</w:t>
            </w:r>
          </w:p>
        </w:tc>
      </w:tr>
      <w:tr w:rsidR="00BC0B28">
        <w:trPr>
          <w:cantSplit/>
          <w:tblHeader/>
        </w:trPr>
        <w:tc>
          <w:tcPr>
            <w:tcW w:w="3685" w:type="dxa"/>
          </w:tcPr>
          <w:p w:rsidR="00BC0B28" w:rsidRDefault="00C020F2">
            <w:pPr>
              <w:pStyle w:val="normal"/>
            </w:pPr>
            <w:proofErr w:type="spellStart"/>
            <w:r>
              <w:rPr>
                <w:color w:val="000000"/>
              </w:rPr>
              <w:t>InverseFunctionalProperty</w:t>
            </w:r>
            <w:proofErr w:type="spellEnd"/>
          </w:p>
        </w:tc>
        <w:tc>
          <w:tcPr>
            <w:tcW w:w="3330" w:type="dxa"/>
          </w:tcPr>
          <w:p w:rsidR="00BC0B28" w:rsidRDefault="00C020F2">
            <w:pPr>
              <w:pStyle w:val="normal"/>
            </w:pPr>
            <w:r>
              <w:t>2</w:t>
            </w:r>
          </w:p>
        </w:tc>
      </w:tr>
    </w:tbl>
    <w:p w:rsidR="00BC0B28" w:rsidRDefault="00BC0B28">
      <w:pPr>
        <w:pStyle w:val="normal"/>
      </w:pPr>
    </w:p>
    <w:tbl>
      <w:tblPr>
        <w:tblStyle w:val="a9"/>
        <w:tblW w:w="71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35"/>
        <w:gridCol w:w="2970"/>
      </w:tblGrid>
      <w:tr w:rsidR="00BC0B28">
        <w:trPr>
          <w:cantSplit/>
          <w:tblHeader/>
        </w:trPr>
        <w:tc>
          <w:tcPr>
            <w:tcW w:w="4135" w:type="dxa"/>
            <w:shd w:val="clear" w:color="auto" w:fill="B4C6E7"/>
          </w:tcPr>
          <w:p w:rsidR="00BC0B28" w:rsidRDefault="00C020F2">
            <w:pPr>
              <w:pStyle w:val="normal"/>
              <w:spacing w:after="0"/>
              <w:rPr>
                <w:b/>
              </w:rPr>
            </w:pPr>
            <w:r>
              <w:rPr>
                <w:b/>
              </w:rPr>
              <w:t>Είναι η οντολογία συνεπής (</w:t>
            </w:r>
            <w:proofErr w:type="spellStart"/>
            <w:r>
              <w:rPr>
                <w:b/>
              </w:rPr>
              <w:t>consistent</w:t>
            </w:r>
            <w:proofErr w:type="spellEnd"/>
            <w:r>
              <w:rPr>
                <w:b/>
              </w:rPr>
              <w:t>);</w:t>
            </w:r>
          </w:p>
        </w:tc>
        <w:tc>
          <w:tcPr>
            <w:tcW w:w="2970" w:type="dxa"/>
          </w:tcPr>
          <w:p w:rsidR="00BC0B28" w:rsidRDefault="00C020F2">
            <w:pPr>
              <w:pStyle w:val="normal"/>
              <w:spacing w:after="0"/>
            </w:pPr>
            <w:r>
              <w:t xml:space="preserve">NAI </w:t>
            </w:r>
          </w:p>
        </w:tc>
      </w:tr>
    </w:tbl>
    <w:p w:rsidR="00BC0B28" w:rsidRDefault="00C020F2">
      <w:pPr>
        <w:pStyle w:val="normal"/>
        <w:rPr>
          <w:i/>
          <w:lang w:val="en-US"/>
        </w:rPr>
      </w:pPr>
      <w:r>
        <w:rPr>
          <w:i/>
        </w:rPr>
        <w:br/>
      </w:r>
      <w:r>
        <w:rPr>
          <w:i/>
        </w:rPr>
        <w:t>Σημείωση</w:t>
      </w:r>
      <w:r w:rsidR="00094D37" w:rsidRPr="00094D37">
        <w:rPr>
          <w:i/>
        </w:rPr>
        <w:t>1</w:t>
      </w:r>
      <w:r w:rsidR="00E15CC3">
        <w:rPr>
          <w:i/>
        </w:rPr>
        <w:t xml:space="preserve">: </w:t>
      </w:r>
      <w:r>
        <w:rPr>
          <w:i/>
        </w:rPr>
        <w:t xml:space="preserve">σε μερικές κλάσεις, για να ορίσουμε τον περιορισμό μπορεί να χρησιμοποιήσαμε πολλαπλά </w:t>
      </w:r>
      <w:proofErr w:type="spellStart"/>
      <w:r>
        <w:rPr>
          <w:i/>
        </w:rPr>
        <w:t>or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some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κλπ. στην ίδια σειρά. Σε τέτοιες περιπτώσεις το συμπεριλάβαμε στην μέτρηση σαν 1 (από το καθένα). Πχ στο </w:t>
      </w:r>
      <w:proofErr w:type="spellStart"/>
      <w:r>
        <w:rPr>
          <w:i/>
        </w:rPr>
        <w:t>MinorInjury</w:t>
      </w:r>
      <w:proofErr w:type="spellEnd"/>
      <w:r>
        <w:rPr>
          <w:i/>
        </w:rPr>
        <w:t xml:space="preserve"> μετράμε 1 περιορ</w:t>
      </w:r>
      <w:r>
        <w:rPr>
          <w:i/>
        </w:rPr>
        <w:t xml:space="preserve">ισμό για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και 1 για </w:t>
      </w:r>
      <w:proofErr w:type="spellStart"/>
      <w:r>
        <w:rPr>
          <w:i/>
        </w:rPr>
        <w:t>unionOf</w:t>
      </w:r>
      <w:proofErr w:type="spellEnd"/>
      <w:r>
        <w:rPr>
          <w:i/>
        </w:rPr>
        <w:t>.</w:t>
      </w:r>
    </w:p>
    <w:p w:rsidR="00094D37" w:rsidRPr="00094D37" w:rsidRDefault="00094D37">
      <w:pPr>
        <w:pStyle w:val="normal"/>
        <w:rPr>
          <w:i/>
        </w:rPr>
      </w:pPr>
      <w:r>
        <w:rPr>
          <w:i/>
        </w:rPr>
        <w:lastRenderedPageBreak/>
        <w:t xml:space="preserve">Σημείωση2: ιδιότητες σαν το </w:t>
      </w:r>
      <w:proofErr w:type="spellStart"/>
      <w:r>
        <w:rPr>
          <w:i/>
          <w:lang w:val="en-US"/>
        </w:rPr>
        <w:t>teammateOf</w:t>
      </w:r>
      <w:proofErr w:type="spellEnd"/>
      <w:r w:rsidRPr="00094D37">
        <w:rPr>
          <w:i/>
        </w:rPr>
        <w:t xml:space="preserve"> </w:t>
      </w:r>
      <w:r>
        <w:rPr>
          <w:i/>
        </w:rPr>
        <w:t xml:space="preserve">μας έβγαινε λογικό να είναι και συμμετρικές και επαγωγικές. Αυτό είχε ως αποτέλεσμα ένας </w:t>
      </w:r>
      <w:r>
        <w:rPr>
          <w:i/>
          <w:lang w:val="en-US"/>
        </w:rPr>
        <w:t>individual</w:t>
      </w:r>
      <w:r w:rsidRPr="00094D37">
        <w:rPr>
          <w:i/>
        </w:rPr>
        <w:t xml:space="preserve"> </w:t>
      </w:r>
      <w:r>
        <w:rPr>
          <w:i/>
        </w:rPr>
        <w:t xml:space="preserve">να συσχετίζεται με τον εαυτό του. Δεν βρήκαμε καλό τρόπο να το αντιμετωπίσουμε αυτό το πρόβλημα οπότε θεωρήσαμε ότι </w:t>
      </w:r>
      <w:r w:rsidR="00C020F2">
        <w:rPr>
          <w:i/>
        </w:rPr>
        <w:t xml:space="preserve">τέτοιες ταυτολογίες στέκουν </w:t>
      </w:r>
      <w:r>
        <w:rPr>
          <w:i/>
        </w:rPr>
        <w:t>και παραμένουν αδιάφορες.</w:t>
      </w:r>
    </w:p>
    <w:sectPr w:rsidR="00094D37" w:rsidRPr="00094D37" w:rsidSect="00BC0B2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7509B"/>
    <w:multiLevelType w:val="multilevel"/>
    <w:tmpl w:val="5A26FF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C0B28"/>
    <w:rsid w:val="00094D37"/>
    <w:rsid w:val="00BC0B28"/>
    <w:rsid w:val="00C020F2"/>
    <w:rsid w:val="00E15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C0B28"/>
    <w:pPr>
      <w:keepNext/>
      <w:keepLines/>
      <w:spacing w:before="240" w:after="0"/>
      <w:ind w:left="432" w:hanging="432"/>
      <w:outlineLvl w:val="0"/>
    </w:pPr>
    <w:rPr>
      <w:color w:val="2F5496"/>
      <w:sz w:val="32"/>
      <w:szCs w:val="32"/>
    </w:rPr>
  </w:style>
  <w:style w:type="paragraph" w:styleId="2">
    <w:name w:val="heading 2"/>
    <w:basedOn w:val="normal"/>
    <w:next w:val="normal"/>
    <w:rsid w:val="00BC0B28"/>
    <w:pPr>
      <w:keepNext/>
      <w:keepLines/>
      <w:spacing w:before="40" w:after="0"/>
      <w:ind w:left="576" w:hanging="576"/>
      <w:outlineLvl w:val="1"/>
    </w:pPr>
    <w:rPr>
      <w:color w:val="2F5496"/>
      <w:sz w:val="26"/>
      <w:szCs w:val="26"/>
    </w:rPr>
  </w:style>
  <w:style w:type="paragraph" w:styleId="3">
    <w:name w:val="heading 3"/>
    <w:basedOn w:val="normal"/>
    <w:next w:val="normal"/>
    <w:rsid w:val="00BC0B28"/>
    <w:pPr>
      <w:keepNext/>
      <w:keepLines/>
      <w:spacing w:before="40" w:after="0"/>
      <w:ind w:left="720" w:hanging="720"/>
      <w:outlineLvl w:val="2"/>
    </w:pPr>
    <w:rPr>
      <w:color w:val="1F3863"/>
      <w:sz w:val="24"/>
      <w:szCs w:val="24"/>
    </w:rPr>
  </w:style>
  <w:style w:type="paragraph" w:styleId="4">
    <w:name w:val="heading 4"/>
    <w:basedOn w:val="normal"/>
    <w:next w:val="normal"/>
    <w:rsid w:val="00BC0B28"/>
    <w:pPr>
      <w:keepNext/>
      <w:keepLines/>
      <w:spacing w:before="40" w:after="0"/>
      <w:ind w:left="864" w:hanging="864"/>
      <w:outlineLvl w:val="3"/>
    </w:pPr>
    <w:rPr>
      <w:i/>
      <w:color w:val="2F5496"/>
    </w:rPr>
  </w:style>
  <w:style w:type="paragraph" w:styleId="5">
    <w:name w:val="heading 5"/>
    <w:basedOn w:val="normal"/>
    <w:next w:val="normal"/>
    <w:rsid w:val="00BC0B28"/>
    <w:pPr>
      <w:keepNext/>
      <w:keepLines/>
      <w:spacing w:before="40" w:after="0"/>
      <w:ind w:left="1008" w:hanging="1008"/>
      <w:outlineLvl w:val="4"/>
    </w:pPr>
    <w:rPr>
      <w:color w:val="2F5496"/>
    </w:rPr>
  </w:style>
  <w:style w:type="paragraph" w:styleId="6">
    <w:name w:val="heading 6"/>
    <w:basedOn w:val="normal"/>
    <w:next w:val="normal"/>
    <w:rsid w:val="00BC0B28"/>
    <w:pPr>
      <w:keepNext/>
      <w:keepLines/>
      <w:spacing w:before="40" w:after="0"/>
      <w:ind w:left="1152" w:hanging="1152"/>
      <w:outlineLvl w:val="5"/>
    </w:pPr>
    <w:rPr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C0B28"/>
  </w:style>
  <w:style w:type="table" w:customStyle="1" w:styleId="TableNormal">
    <w:name w:val="Table Normal"/>
    <w:rsid w:val="00BC0B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C0B2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normal"/>
    <w:next w:val="normal"/>
    <w:rsid w:val="00BC0B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BC0B2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BC0B2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BC0B2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BC0B2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BC0B2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bJwMfpM5mh6U2VYQ0FaReVW3+A==">CgMxLjA4AHIhMWx0dXpXTmphR01wdjBFQnMwVVJqaGpCZjYySjl3UkFT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2024-01-24T17:34:00Z</dcterms:created>
  <dcterms:modified xsi:type="dcterms:W3CDTF">2024-01-24T17:38:00Z</dcterms:modified>
</cp:coreProperties>
</file>