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  <w:jc w:val="center"/>
      </w:pPr>
      <w:r>
        <w:rPr>
          <w:rFonts w:ascii="Calibri" w:hAnsi="Calibri" w:eastAsia="微软雅黑"/>
          <w:b/>
          <w:color w:val="0B2545"/>
          <w:sz w:val="40"/>
        </w:rPr>
        <w:t>AI for Research赛道｜算法赛复赛报告</w:t>
      </w:r>
    </w:p>
    <w:p>
      <w:pPr>
        <w:spacing w:after="200"/>
        <w:jc w:val="center"/>
      </w:pPr>
      <w:r>
        <w:rPr>
          <w:rFonts w:ascii="Calibri" w:hAnsi="Calibri" w:eastAsia="微软雅黑"/>
          <w:b w:val="0"/>
          <w:color w:val="5A6573"/>
          <w:sz w:val="21"/>
        </w:rPr>
        <w:t>复赛提交：方案说明 PPT + 复赛报告（初赛问题定义文档加强版）</w:t>
      </w:r>
    </w:p>
    <w:p>
      <w:pPr>
        <w:shd w:val="clear" w:fill="F4F6F9"/>
        <w:spacing w:before="40" w:after="120"/>
      </w:pPr>
      <w:r>
        <w:rPr>
          <w:rFonts w:ascii="Calibri" w:hAnsi="Calibri" w:eastAsia="微软雅黑"/>
          <w:b/>
          <w:color w:val="1F4D78"/>
          <w:sz w:val="19"/>
        </w:rPr>
        <w:t>说明：</w:t>
      </w:r>
      <w:r>
        <w:rPr>
          <w:rFonts w:ascii="Calibri" w:hAnsi="Calibri" w:eastAsia="微软雅黑"/>
          <w:b w:val="0"/>
          <w:color w:val="0B2545"/>
          <w:sz w:val="19"/>
        </w:rPr>
        <w:t xml:space="preserve">本报告为初赛问题定义文档的加强版；其中每个主要结论、图与指标均可追溯到提交包中的代码版本、配置、数据、运行日志/Agent 轨迹与结果文件（见 docs/competition/SUBMISSION.md）。</w:t>
      </w:r>
    </w:p>
    <w:p>
      <w:pPr>
        <w:pStyle w:val="3"/>
      </w:pPr>
      <w:r>
        <w:t>一、项目概述</w:t>
      </w:r>
    </w:p>
    <w:p>
      <w:pPr>
        <w:pStyle w:val="4"/>
      </w:pPr>
      <w:r>
        <w:t>1.1 项目名称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SAGE-Mat：面向无机材料科学发现与合成规划的证据驱动自循环智能体（开源实现名 GoAI Research）。</w:t>
      </w:r>
    </w:p>
    <w:p>
      <w:pPr>
        <w:pStyle w:val="4"/>
      </w:pPr>
      <w:r>
        <w:t>1.2 参赛方向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方向三"材料科学文献驱动的科学发现智能体"，进阶路线 C"合成路线与工艺设计"。</w:t>
      </w:r>
    </w:p>
    <w:p>
      <w:pPr>
        <w:pStyle w:val="4"/>
      </w:pPr>
      <w:r>
        <w:t>1.3 方案概述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本项目交付一个可从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一行研究主题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出发、无人值守运行到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引用可核验的中文综述 PDF、结构化证据包和候选合成路线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的多智能体系统。系统由三层组成：认知层是 9 个以 Markdown 写成的 agent 技能（编排、文献检索、风格学习、引用核验、分类法与写作、图纸、想法与实验方案、对抗审稿），由 Codex CLI 宿主执行；确定性层是 4 个可离线测试的 MCP server（在线五源检索与本地全文库、BibTeX 与作者顺序比对、figspec 图纸双渲染、无机逆合成预测）；控制层是账本驱动的回环（loopctl），九个出口闸门由代码而非模型自报判定"完成"。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复赛阶段在初赛方案基础上完成了三件事。第一，把初赛承诺的 LLZO 烧结致密化主题跑通为端到端诊断案例（46 篇核验文献、10 页综述、Top-5 前驱体路线），并据此修复了 11 类集成失效模式。第二，用纯主题冷启动完成正式案例 Ba5Y12Zn[O(SiO4)]8 及其结构近邻的合成条件调研：51 篇文献全部通过存在性、元数据与作者顺序三轴核验，正文 100 条结论、219 次引用、整合率 100%，两轮对抗审稿 0 blocker / 0 major，随后按材料专家 8 条意见完成学术化修订，形成 23 页正式报告。第三，将团队 NeurIPS 2026 投稿 RECIPE 的两阶段无机前驱体预测模型以 MCP 工具形式接入想法生成环节，并在 2,558 条留出测试反应上独立重算指标（Combo@1 71.81、Combo@20 89.21、Combo MRR 77.48），与 checkpoint 自带汇总逐位一致。</w:t>
      </w:r>
    </w:p>
    <w:p>
      <w:pPr>
        <w:pStyle w:val="3"/>
      </w:pPr>
      <w:r>
        <w:t>二、科学问题理解</w:t>
      </w:r>
    </w:p>
    <w:p>
      <w:pPr>
        <w:pStyle w:val="4"/>
      </w:pPr>
      <w:r>
        <w:t>2.1 科学问题与研究对象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无机功能材料的合成知识分散在数万篇论文的实验部分，条件字段（原料与配比、温度—时间程序、气氛、坩埚与助熔剂、冷却方式、表征手段）以自然语言零散记录，且只有在实验语境一致时才能相互比较。对一个新报道或仅有单篇报道的化合物，研究者面临的核心问题是：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已有文献能在多大程度上限定它的合成条件，哪些条件可以从结构相近体系迁移，哪些迁移是不成立的，以及下一步做什么实验最有科学发现价值。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正式案例选择 Ba5Y12Zn[O(SiO4)]8（BYZSO），一种 2024 年首次报道的非中心对称硅酸盐。它在公开文献中只有一篇直接合成报道，且该报道未给出可独立复现的投料比、温程和冷却程序，是"文献稀缺、近邻丰富"的典型情形：Ba–Y–Si–O 四方谱系（如 Ba5Y13[SiO4]8O8.5、BaxY26Si16O71+x）、Ba–Zn–Si–O 结构端点（BaZnSiO4、Ba2ZnSi2O7、BaZnSi3O8）和 Y–Si–O 多型分别提供了助熔生长、固相成相和高温结构稳定性的可比证据。初赛案例 LLZO 石榴石固态电解质则代表"文献丰富但条件不可比"的另一极：低温致密化、两步烧结、冷烧结和超快烧结各有先例，却缺少跨掺杂体系的统一工艺图景。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这一问题难在三处：关键词检索会混入综述、参考文献列表与跨体系讨论；"未检出"不等于"未研究"，别名与语料覆盖会制造假空白；温度、气氛、致密度与电导率等数值只有在实验语境一致时才能比较，误读一个升温节点或淬火温度就会产生虚假的规律或冲突。</w:t>
      </w:r>
    </w:p>
    <w:p>
      <w:pPr>
        <w:pStyle w:val="4"/>
      </w:pPr>
      <w:r>
        <w:t>2.2 科学意义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对 BYZSO 这类新化合物，系统给出的不是一份"配方"，而是一张由文献证据限定的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合成条件可迁移范围图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：哪些字段有直接证据、哪些只能从近邻体系借用、哪些近邻条件明确不适用，以及以局部相图、Zn–Y–氧计量耦合、固相成相与高温溶液长晶并行、Mg/Co 类比为主线的四类可检验实验方向；每个方向都落到具体前驱体（由预测模型给出并标注"模型候选、待实验验证"）与工艺路线。对 LLZO，系统把"寻找新掺杂"转向"建立可验证的工艺窗口"，并给出模型与文献相互印证的 Top-1 前驱体路线。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更一般地，本项目把文献驱动发现从"生成像论文的结论"改为"保存检索范围、原文证据、否决原因和验证方案的决策过程"：每条结论可追溯到引用键、DOI、核验记录和（有全文时的）原文段落，每张图有可编辑源文件，每个判定有账本记录。这使得材料研究者可以区分真正值得实验的问题、语料造成的假空白和条件不可比造成的假冲突。</w:t>
      </w:r>
    </w:p>
    <w:p>
      <w:r>
        <w:br w:type="page"/>
      </w:r>
    </w:p>
    <w:p>
      <w:pPr>
        <w:pStyle w:val="3"/>
      </w:pPr>
      <w:r>
        <w:t>三、技术方案与预期方法路线</w:t>
      </w:r>
    </w:p>
    <w:p>
      <w:pPr>
        <w:pStyle w:val="4"/>
      </w:pPr>
      <w:r>
        <w:t>3.1 技术方案</w:t>
      </w:r>
    </w:p>
    <w:p>
      <w:pPr>
        <w:spacing w:before="80" w:after="40"/>
        <w:jc w:val="center"/>
      </w:pPr>
      <w:r>
        <w:drawing>
          <wp:inline distT="0" distB="0" distL="0" distR="0">
            <wp:extent cx="5770726" cy="3213600"/>
            <wp:docPr id="101" name="Figure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e10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70726" cy="3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eastAsia="微软雅黑"/>
          <w:b w:val="0"/>
          <w:i w:val="0"/>
          <w:color w:val="5A6573"/>
          <w:sz w:val="18"/>
        </w:rPr>
        <w:t xml:space="preserve">图 1｜GoAI Research 流水线：发现（五源检索 + 引用核验）→ 生产（分类法、图纸、想法、写作并行）→ 质量回环（对抗审稿、账本闸门、返工路由）。本图由系统自身的 figspec 渲染器生成，同源输出 SVG 与 draw.io。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系统采用"认知—确定性—控制"三层分离的设计。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认知层：9 个 agent 技能。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goai-orchestrator 读取账本状态并按阶段分派；goai-lit-search 做 arXiv / OpenAlex / Crossref / Semantic Scholar / DBLP 五源检索、引文滚雪球与本地全文库检索，并产出覆盖率报告；goai-style-bank 从 30 篇经典综述蒸馏写作与画图风格卡；goai-ref-guard 对每条引用重新抓取一手元数据并逐字段比对；goai-survey-writer 从分类法到蓝图到逐节 LaTeX，只允许引用已核验库中的键，并强制材料学术语（近邻体系单独成节、前人实验结论汇总、每个方向落到具体合成建议）；goai-figure-studio / goai-figure-editable 采用"先生成视觉参照、再测量重建为可编辑矢量"的图纸管线；goai-idea-forge 从覆盖缺口、矛盾信号与组合空位中挖掘方向并调用逆合成工具；goai-reviewer 以全新上下文做三视角（领域专家、方法严谨派、期刊编辑）对抗审稿，产出带目标阶段的结构化 issue。全部技能是纯 Markdown，构成提交的 Prompt 全集。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确定性层：4 个 MCP server、25 个工具。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goai-litsearch（在线检索、下载、入库、BibTeX 导出、覆盖率、本地全文库 grep_local_corpus / read_local_document / lookup_local_doi）；goai-refcheck（verify_entry / verify_bib_file 三轴核验：存在性、元数据、作者顺序）；goai-figure（figspec 校验、排版 lint、SVG 与 mxGraph 双渲染、SVG→draw.io 逆向）；goai-retro（predict_precursor_routes 两阶段无机前驱体预测、make_experiment_plan）。所有工具可离线测试，且每次调用写入审计日志 tool_calls.jsonl。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控制层：账本驱动的回环。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九个出口闸门（范围确认、文献覆盖、风格库、引用完整性、分类法、图纸、稿件、想法审稿、终审）记录在 ledger.json，只能通过 loopctl 读写；check-done 仅在全部闸门落账、无 FAIL、无 open blocker/major、且审稿 PASS 指向真实存在的 trace 文件时才退出 0。审稿人不改稿，执行者不自判；同一 issue 三轮未收敛则升级人工。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逆合成预测的融入方式。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goai-retro 的内核是团队 NeurIPS 2026 投稿 RECIPE（Reranking Exact Candidate Inorganic Precursor Entries）。它把单步无机逆合成重新形式化为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变长前驱体集合的排序问题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，分两阶段：Precursor Candidate Generator 用 formula-token Transformer 对目标式与 798 个前驱体打分，构成高召回候选池（Top-30）；经过标签无关的化学兼容性过滤（非挥发元素须为目标元素子集，pool 上限 15）后枚举 2–5 元组合（典型 4,928 个集合）；Complete-Set Reranker 以目标条件化的集合 token 与 374 维集合描述子（覆盖度、多余元素、共现、计量相容性）做 listwise 重排，并以最强负样本间隔与元素覆盖辅助损失训练。工具返回 Top-K 完整集合及 Stage-1 概率、Stage-2 分数、候选池内概率与 checkpoint SHA-256；skill 层硬性规定其输出只能以"模型候选、待实验验证"（chemical_route_verified=false）进入正文，并须经文献证据补全与审稿人复核。</w:t>
      </w:r>
    </w:p>
    <w:p>
      <w:pPr>
        <w:pStyle w:val="4"/>
      </w:pPr>
      <w:r>
        <w:t>3.2 方法路线（实际实现）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正式运行只有一个人类输入："调研主题：Ba5Y12Zn[O(SiO4)]8及其结构相近化合物的合成条件"。顶层编排器以 codex exec --json 无人值守启动，按账本状态机推进：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1.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范围与身份核验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：将结构式视为待核对记号，检索规范化学式、空间群与原始报道；自动确认范围草案（中文 8–12 页、只按可验证的同构/同型/拓扑关系判定"结构相近"）。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2.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检索与风格学习并行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：8 个 MECE 子主题、五源检索 + 本地全文库 + 滚雪球，得到 63 条候选；同时构建风格库。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3.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引用闸门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：52 条经三轴核验，5 条因作者名规范化污染被判 MISMATCH，连续三轮未收敛后按规则升级人工停点，采纳"删除背景文献继续"，最终 51 条全部 PASS。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4.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分类法与贡献确认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：形成"身份谱系与证据分级—路线—变量—验证矩阵—失败边界与迁移"三条主线。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5.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图纸、写作、想法三路并行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：3 张图（先 AI 生成视觉参照，再重建为 figspec→SVG/draw.io）；11 个章节逐节写作，每句结论绑定引用键；想法环节对 Zn / Mg / Co 三个目标调用 predict_precursor_routes。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6.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两轮对抗审稿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：首轮 I5–I11 共 7 项 issue 路由回属主阶段返工；第二轮 0 blocker / 0 major / 0 minor，review_pass 带回执落账，check-done 退出 0，输出 20 页 PDF。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7.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专家反馈修订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：依据材料专家 8 条意见（正规论文语言、引言介绍研究目标而非流程、同类体系单独讨论、前人结论合集、方向落到工艺与前驱体、学术排版图、行文路线图、Pt/Au 坩埚只在助熔/慢冷/单晶终点同时存在时作为晶体生长证据）进行三轮修订，新增 academic_language_guard 术语闸门，得到 23 页正式稿。</w:t>
      </w:r>
    </w:p>
    <w:p>
      <w:pPr>
        <w:pStyle w:val="4"/>
      </w:pPr>
      <w:r>
        <w:t>3.3 数据来源、依赖工具与运行流程</w:t>
      </w:r>
    </w:p>
    <w:tbl>
      <w:tblPr>
        <w:tblW w:w="9878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827"/>
        <w:gridCol w:w="5401"/>
        <w:gridCol w:w="3650"/>
      </w:tblGrid>
      <w:tr>
        <w:tc>
          <w:tcPr>
            <w:tcW w:w="827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类别</w:t>
            </w:r>
          </w:p>
        </w:tc>
        <w:tc>
          <w:tcPr>
            <w:tcW w:w="5401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内容</w:t>
            </w:r>
          </w:p>
        </w:tc>
        <w:tc>
          <w:tcPr>
            <w:tcW w:w="3650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公开状态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文献元数据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Crossref、OpenAlex、arXiv、Semantic Scholar、DBLP（免密钥公开 API）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公开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全文库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团队自建 Markdown 化全文库（约 3,760 万篇，1990s–2021，Parquet 分片 + DOI 索引）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私有；公开包只含正式报告被引 51 篇中的 21 篇全文（goai-compact-parquet-v1），其余 30 篇以 DOI 提供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预测模型数据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Retrieval-Retro 年份切分基准（源自 Ceder 文本挖掘合成数据集）：24,034 / 1,842 / 2,558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随源基准公开；仓库含测试集与两份 checkpoint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LLM 与 Harness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Codex CLI 0.146.1，模型 gpt-5.6-sol，推理强度 xhigh；构筑与运行阶段轨迹分目录提交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声明于 SUBMISSION.md §2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依赖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Python ≥ 3.10、FastMCP、httpx、DuckDB、PyTorch 2.7（预测模型）、pymatgen；TeX（xelatex + ctex 或 tectonic）；可选 draw.io CLI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pyproject.toml + uv.lock</w:t>
            </w:r>
          </w:p>
        </w:tc>
      </w:tr>
    </w:tbl>
    <w:p>
      <w:pPr>
        <w:spacing w:after="60"/>
      </w:pP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运行流程：bash install.sh --retro → bash scripts/smoke_test.sh --with-retro（无网络、无 LLM，1–2 分钟）→ bash scripts/reproduce_core.sh [--topic …]（需 Codex 登录、网络、TeX）。</w:t>
      </w:r>
    </w:p>
    <w:p>
      <w:pPr>
        <w:pStyle w:val="3"/>
      </w:pPr>
      <w:r>
        <w:t>四、实验结果</w:t>
      </w:r>
    </w:p>
    <w:p>
      <w:pPr>
        <w:pStyle w:val="4"/>
      </w:pPr>
      <w:r>
        <w:t>4.1 实验设置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两个案例、一个基准。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案例 A（正式）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：BYZSO 纯主题冷启动，2026-08-31 至 09-01 完成，09-02 专家反馈修订；顶层编排器 5 次调用（首轮 + 4 个人工停点续跑），29 批 / 40 个子任务，约 7,084 万输入 token、56.7 万输出 token，224 次工具函数调用、205 次内置网页搜索、134 条服务端审计的全文库与预测调用。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案例 B（初赛承诺）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：LLZO 烧结致密化诊断轮，2026-08-29，21 个任务、49 次 MCP 调用。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基准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：RECIPE 两阶段模型在 Retro 留出测试集（2,558 条，2018 年后反应）上的重算，协议与论文一致（top_m 30、pool 15、集合大小 2–5、全分母）。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复赛期间共 7 组运行全部留痕（含一次停在文献阶段的失败冷启动），正式结果取"最后一个同时通过 bib_guard、tex_guard、academic_language_guard 与 review_pass 的版本"，不在多次运行间挑选；详细清单见 SUBMISSION.md §3。</w:t>
      </w:r>
    </w:p>
    <w:p>
      <w:pPr>
        <w:pStyle w:val="4"/>
      </w:pPr>
      <w:r>
        <w:t>4.2 案例 A：Ba5Y12Zn[O(SiO4)]8 合成条件调研</w:t>
      </w:r>
    </w:p>
    <w:p>
      <w:pPr>
        <w:spacing w:before="80" w:after="40"/>
        <w:jc w:val="center"/>
      </w:pPr>
      <w:r>
        <w:drawing>
          <wp:inline distT="0" distB="0" distL="0" distR="0">
            <wp:extent cx="5958902" cy="3351882"/>
            <wp:docPr id="102" name="Figure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e10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58902" cy="335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eastAsia="微软雅黑"/>
          <w:b w:val="0"/>
          <w:i w:val="0"/>
          <w:color w:val="5A6573"/>
          <w:sz w:val="18"/>
        </w:rPr>
        <w:t xml:space="preserve">图 2｜正式报告的研究路线图（第三轮学术化重绘）：从 Ba–Y–Si–O 近邻的组成空间与局部候选区，经候选晶相与两条合成路径（固相成相、高温溶液长晶），到粉末衍射、单晶结构与实际化学计量的互补表征反馈。</w:t>
      </w:r>
    </w:p>
    <w:tbl>
      <w:tblPr>
        <w:tblW w:w="9878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609"/>
        <w:gridCol w:w="9269"/>
      </w:tblGrid>
      <w:tr>
        <w:tc>
          <w:tcPr>
            <w:tcW w:w="609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指标</w:t>
            </w:r>
          </w:p>
        </w:tc>
        <w:tc>
          <w:tcPr>
            <w:tcW w:w="9269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结果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文献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63 条候选 → 51 条入库，三轴核验 51/51 PASS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正文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23 页、11 章；100 条含引用结论、219 次引用、整合率 100%、引用密度 41.3 次/千词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证据链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54 条结论有包内全文可回读；36 条合成条件结论带原文页/节定位（B1、B5、B6、C6、C17 等单元格逐字段区分"可支持"与"不可支持"）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图纸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3 张，figspec → SVG + draw.io 同源，均通过排版 lint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审稿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两轮，最终 0 blocker / 0 major / 0 minor（同家族冷启动复审，provisional=true）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前驱体预测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Zn 目标 Top-1 ZnO + Y2O3 + SiO2 + BaCO3（候选池内概率 0.594）；Mg 类比 Top-1 MgO + Y2O3 + BaCO3 + SiO2（0.522）；Co 类比 Top-1 Co3O4 + …（0.298，前三名反映 Co 氧化态不确定性）</w:t>
            </w:r>
          </w:p>
        </w:tc>
      </w:tr>
    </w:tbl>
    <w:p>
      <w:pPr>
        <w:spacing w:after="60"/>
      </w:pP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主要科学结论：目标相公开证据只能确认"开放体系高温溶液法 + 单晶 X 射线衍射鉴定"，不足以给出经验证的复现配方；无 Zn 的 Ba–Y–Si–O 四方谱系提供了 MoO3 助熔（Pt 坩埚、1150 °C、2 K/h 慢冷）、Ba:Y:Si = x:26:16 固相陶瓷（1300 °C 煅烧、1600 °C 烧成）与 5:13:8 粉体相场筛查（1273 K 预烧、1573 K 三次退火）三类可比路线，但具体数值不得无条件迁移；组成坐标比单一最高温度更能解释成相差异，"获得单晶"不等于"建立批量相纯窗口"，局部相图是连接复现与发现的核心实验。据此提出四个方向并各配前驱体与工艺建议。</w:t>
      </w:r>
    </w:p>
    <w:p>
      <w:pPr>
        <w:pStyle w:val="4"/>
      </w:pPr>
      <w:r>
        <w:t>4.3 案例 B：LLZO 烧结致密化诊断轮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46 篇文献六个子主题覆盖通过，引用核查修正 3 条元数据后 46/46 PASS；生成 10 页 A4 综述；两步模型 Top-1 前驱体 ZrO2 + La2O3 + Li2CO3 与文献一致，Top-2 至 Top-5 出现 LiHO、La(HO)3 等可疑命名，全部标记"模型输出已验证、化学路线未验证"。审稿首轮 4 个 major，修复关闭 2 个。该轮暴露的 11 类失效模式（MCP 审批配置、工作目录错误、并行写库竞争、exit=0 假成功、旧产物假成功、上下文膨胀、上游限流、图片 lint 假绿、retro 字段不兼容、测试契约漂移、同模型审稿独立性不足）全部记录并修复，修复说明见 docs/FAILURE_MODE_FIXES.md。后续对 LLZO 替代材料（Li6PS5Cl、Li3YCl6、LATP）的分析显示三者 Top-1 模型路线均通过文献复核。</w:t>
      </w:r>
    </w:p>
    <w:p>
      <w:pPr>
        <w:pStyle w:val="4"/>
      </w:pPr>
      <w:r>
        <w:t>4.4 前驱体预测基准（RECIPE 融入部分的独立复核）</w:t>
      </w:r>
    </w:p>
    <w:tbl>
      <w:tblPr>
        <w:tblW w:w="9878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2954"/>
        <w:gridCol w:w="1569"/>
        <w:gridCol w:w="1754"/>
        <w:gridCol w:w="1569"/>
        <w:gridCol w:w="2032"/>
      </w:tblGrid>
      <w:tr>
        <w:tc>
          <w:tcPr>
            <w:tcW w:w="2954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指标（Retro 测试集，2,558 条，全分母）</w:t>
            </w:r>
          </w:p>
        </w:tc>
        <w:tc>
          <w:tcPr>
            <w:tcW w:w="1569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本仓库重算</w:t>
            </w:r>
          </w:p>
        </w:tc>
        <w:tc>
          <w:tcPr>
            <w:tcW w:w="1754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checkpoint 自带汇总</w:t>
            </w:r>
          </w:p>
        </w:tc>
        <w:tc>
          <w:tcPr>
            <w:tcW w:w="1569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论文 3 种子均值</w:t>
            </w:r>
          </w:p>
        </w:tc>
        <w:tc>
          <w:tcPr>
            <w:tcW w:w="2032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Retrieval-Retro 基线</w:t>
            </w:r>
          </w:p>
        </w:tc>
      </w:tr>
      <w:tr>
        <w:tc>
          <w:tcPr>
            <w:tcW w:w="29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Stage 1 Top-20 前驱体覆盖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95.78</w:t>
            </w:r>
          </w:p>
        </w:tc>
        <w:tc>
          <w:tcPr>
            <w:tcW w:w="17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95.78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95.93 ± 0.18</w:t>
            </w:r>
          </w:p>
        </w:tc>
        <w:tc>
          <w:tcPr>
            <w:tcW w:w="203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92.96</w:t>
            </w:r>
          </w:p>
        </w:tc>
      </w:tr>
      <w:tr>
        <w:tc>
          <w:tcPr>
            <w:tcW w:w="29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Combo@1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71.81</w:t>
            </w:r>
          </w:p>
        </w:tc>
        <w:tc>
          <w:tcPr>
            <w:tcW w:w="17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71.81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71.70 ± 0.10</w:t>
            </w:r>
          </w:p>
        </w:tc>
        <w:tc>
          <w:tcPr>
            <w:tcW w:w="203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60.40</w:t>
            </w:r>
          </w:p>
        </w:tc>
      </w:tr>
      <w:tr>
        <w:tc>
          <w:tcPr>
            <w:tcW w:w="29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Combo@5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84.71</w:t>
            </w:r>
          </w:p>
        </w:tc>
        <w:tc>
          <w:tcPr>
            <w:tcW w:w="17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84.71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84.52 ± 1.48</w:t>
            </w:r>
          </w:p>
        </w:tc>
        <w:tc>
          <w:tcPr>
            <w:tcW w:w="203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66.22</w:t>
            </w:r>
          </w:p>
        </w:tc>
      </w:tr>
      <w:tr>
        <w:tc>
          <w:tcPr>
            <w:tcW w:w="29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Combo@20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89.21</w:t>
            </w:r>
          </w:p>
        </w:tc>
        <w:tc>
          <w:tcPr>
            <w:tcW w:w="17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89.21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89.82 ± 1.74</w:t>
            </w:r>
          </w:p>
        </w:tc>
        <w:tc>
          <w:tcPr>
            <w:tcW w:w="203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69.00</w:t>
            </w:r>
          </w:p>
        </w:tc>
      </w:tr>
      <w:tr>
        <w:tc>
          <w:tcPr>
            <w:tcW w:w="29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Combo MRR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77.48</w:t>
            </w:r>
          </w:p>
        </w:tc>
        <w:tc>
          <w:tcPr>
            <w:tcW w:w="17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77.48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77.43 ± 0.69</w:t>
            </w:r>
          </w:p>
        </w:tc>
        <w:tc>
          <w:tcPr>
            <w:tcW w:w="203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63.29</w:t>
            </w:r>
          </w:p>
        </w:tc>
      </w:tr>
      <w:tr>
        <w:tc>
          <w:tcPr>
            <w:tcW w:w="29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同枚举 product 对照 Combo@1 / MRR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11.65 / 23.24</w:t>
            </w:r>
          </w:p>
        </w:tc>
        <w:tc>
          <w:tcPr>
            <w:tcW w:w="1754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11.65 / 23.24</w:t>
            </w:r>
          </w:p>
        </w:tc>
        <w:tc>
          <w:tcPr>
            <w:tcW w:w="15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11.65 / 23.24</w:t>
            </w:r>
          </w:p>
        </w:tc>
        <w:tc>
          <w:tcPr>
            <w:tcW w:w="203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重算使用与 MCP 工具完全相同的推理代码（tools/eval_retro_benchmark.py，GPU 19 分钟），结果与 checkpoint 自带汇总逐位一致，落在论文三种子区间内；对照行说明增益来自学习到的集合级排序而非候选枚举或过滤本身。论文中 20 例文献标注的分布外目标上，RECIPE 由 Combo@1 55.00 升至 Combo@20 85.00（Retrieval-Retro 为 40.00），与本项目"Top-1 可靠、Top-2 起需人工与文献复核"的观察一致。</w:t>
      </w:r>
    </w:p>
    <w:p>
      <w:pPr>
        <w:pStyle w:val="4"/>
      </w:pPr>
      <w:r>
        <w:t>4.5 系统级指标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56 项离线单元测试（BibTeX 往返、作者比对、figspec 校验与排版 lint、SVG↔draw.io 往返、本地全文库检索与受限读取、账本并发 12 写入者零丢失、check-done 语义与回执校验、bib/tex/术语闸门）全部通过；实测套件（真实五源检索、真实 draw.io 导出、完整 mini 综述回环）记录于 docs/live-tests/。</w:t>
      </w:r>
    </w:p>
    <w:p>
      <w:pPr>
        <w:pStyle w:val="4"/>
      </w:pPr>
      <w:r>
        <w:t>4.6 科学意义解释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系统证明了在文献稀缺（BYZSO）与文献丰富但不可比（LLZO）两种情形下，"证据约束 + 机械闸门"的智能体都能产出可被逐条核对的调研结论与可检验的实验建议，而不是无法追溯的综述文本。对材料研究者的直接价值是：把一周量级的文献梳理压缩为一次运行，同时把"该不该相信这条结论"变成可以点开 DOI 与原文段落回答的问题。</w:t>
      </w:r>
    </w:p>
    <w:p>
      <w:r>
        <w:br w:type="page"/>
      </w:r>
    </w:p>
    <w:p>
      <w:pPr>
        <w:pStyle w:val="3"/>
      </w:pPr>
      <w:r>
        <w:t>五、复现与开放计划</w:t>
      </w:r>
    </w:p>
    <w:p>
      <w:pPr>
        <w:pStyle w:val="4"/>
      </w:pPr>
      <w:r>
        <w:t>5.1 复现方式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bash install.sh --retro 完成安装；bash scripts/smoke_test.sh --with-retro 在干净环境无网络、无 LLM 条件下 1–2 分钟内验证环境、4 个 MCP server、56 项测试、公开知识库、结论—证据链与图纸渲染；tools/eval_retro_benchmark.py 独立复算基准；bash scripts/reproduce_core.sh 用同一主题、同一模型与推理强度重新运行整条流水线。因 LLM 不可逐字复现，核心流程的复现判据是账本 check-done 退出 0、CITATION_AUDIT 全部 PASS、bib_guard 整合率 ≥ 90%，并产出 PDF、BibTeX、图源与逐子任务 JSONL 轨迹。报告中每个主要结论、图与指标都可沿"代码版本 → 配置 → 数据 → 日志/轨迹 → 结果文件"追溯（SUBMISSION.md §6 给出完整示例）。</w:t>
      </w:r>
    </w:p>
    <w:p>
      <w:pPr>
        <w:pStyle w:val="4"/>
      </w:pPr>
      <w:r>
        <w:t>5.2 开源计划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仓库 </w:t>
      </w:r>
      <w:hyperlink r:id="rIdHl1" w:history="1">
        <w:r>
          <w:rPr>
            <w:rFonts w:ascii="Calibri" w:hAnsi="Calibri" w:eastAsia="微软雅黑"/>
            <w:color w:val="1F4D78"/>
            <w:u w:val="single"/>
            <w:sz w:val="21"/>
          </w:rPr>
          <w:t xml:space="preserve">https://github.com/asimfish/goai_research</w:t>
        </w:r>
      </w:hyperlink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以 MIT 许可开源全部源代码、Prompt、配置模板、预测模型推理代码与 checkpoint、正式运行的输入、账本、审计日志、子任务轨迹、构筑阶段 Agent 轨迹、证据包与指标；提交时固定 tag goai-final-2026-09-03。可复用部分包括：任意主题的综述回环、引用零信任核验、figspec 可编辑图纸管线、无机前驱体预测 MCP 工具。</w:t>
      </w:r>
    </w:p>
    <w:p>
      <w:pPr>
        <w:pStyle w:val="4"/>
      </w:pPr>
      <w:r>
        <w:t>5.3 依赖、数据来源与合规披露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商业服务：OpenAI 模型 gpt-5.6-sol（通过 Codex CLI，账号订阅），是唯一闭源依赖；其不可逐字复现性已在 5.1 说明。开源依赖：FastMCP、httpx、DuckDB、PyTorch、pymatgen、ripgrep、draw.io（可选）。外部数据：Crossref / OpenAlex / arXiv / Semantic Scholar / DBLP 元数据（各自服务条款允许非商业检索）；Retrieval-Retro 基准数据随源工作公开。私有全文库不公开，公开包只含被引文献中 21 篇全文，标注"仅供评审复现、出版社版权保留、不得二次分发"，其对复现的影响为本地全文检索命中范围受限，在线检索与核验不受影响。提交包不含任何密钥或认证信息。</w:t>
      </w:r>
    </w:p>
    <w:p>
      <w:pPr>
        <w:pStyle w:val="3"/>
      </w:pPr>
      <w:r>
        <w:t>六、团队介绍</w:t>
      </w:r>
    </w:p>
    <w:p>
      <w:pPr>
        <w:pStyle w:val="4"/>
      </w:pPr>
      <w:r>
        <w:t>6.1 成员背景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团队由三名博士成员组成：高京，上海交通大学；吕丁阳，中国科学院大学；李雨峰，上海交通大学。分工覆盖材料文献理解、科学问题识别、科研智能体设计、模型训练与逆合成评价等环节。</w:t>
      </w:r>
    </w:p>
    <w:p>
      <w:pPr>
        <w:pStyle w:val="4"/>
      </w:pPr>
      <w:r>
        <w:t>6.2 团队分工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高京负责项目总体协调、科学问题定义、LLZO 与 BYZSO 案例的材料学边界审查、私有全文库与精简知识库、复赛报告统稿；吕丁阳负责 Agent 架构、任务编排与回环协议、证据校准与引用核验机制、构筑与运行轨迹的整理与复现脚本；李雨峰负责 RECIPE 两阶段逆合成模型的训练、评测与 MCP 接入、figspec 图纸管线与排版 lint、仓库工程质量。三名成员共同承担结论的人工终审、合成路线合理性复核和最终提交质量检查。</w:t>
      </w:r>
    </w:p>
    <w:p>
      <w:pPr>
        <w:pStyle w:val="4"/>
      </w:pPr>
      <w:r>
        <w:t>6.3 团队成果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团队已有 SafeLab ICML 2026 论文成果，曾在 AI4Science 黑客松上海站和北京站分别获得三等奖；RECIPE 无机逆合成工作已投稿 NeurIPS 2026。上述经历为本项目的科研智能体设计、材料文献分析和可复现工程实现提供了基础。</w:t>
      </w:r>
    </w:p>
    <w:sectPr>
      <w:footerReference r:id="rId5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E1932">
    <w:pPr>
      <w:pStyle w:val="24"/>
      <w:jc w:val="right"/>
    </w:pPr>
    <w:r>
      <w:rPr>
        <w:rFonts w:hint="eastAsia" w:ascii="Calibri" w:hAnsi="Calibri"/>
        <w:b w:val="0"/>
        <w:i w:val="0"/>
        <w:color w:val="5A6573"/>
        <w:sz w:val="17"/>
        <w:lang w:eastAsia="zh-CN"/>
      </w:rPr>
      <w:t>GOAI AI for Research赛道</w:t>
    </w:r>
    <w:r>
      <w:rPr>
        <w:rFonts w:ascii="Calibri" w:hAnsi="Calibri" w:eastAsia="微软雅黑"/>
        <w:b w:val="0"/>
        <w:i w:val="0"/>
        <w:color w:val="5A6573"/>
        <w:sz w:val="17"/>
      </w:rPr>
      <w:t xml:space="preserve"> | 算法赛复赛报告 · SAGE-Mat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67B46"/>
    <w:rsid w:val="3F6DDC68"/>
    <w:rsid w:val="49184B37"/>
    <w:rsid w:val="4B3D7BCD"/>
    <w:rsid w:val="629433AC"/>
    <w:rsid w:val="664870AD"/>
    <w:rsid w:val="6E07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Hl1" Type="http://schemas.openxmlformats.org/officeDocument/2006/relationships/hyperlink" Target="https://github.com/asimfish/goai_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542</Words>
  <Characters>580</Characters>
  <Lines>0</Lines>
  <Paragraphs>0</Paragraphs>
  <TotalTime>0</TotalTime>
  <ScaleCrop>false</ScaleCrop>
  <LinksUpToDate>false</LinksUpToDate>
  <CharactersWithSpaces>597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cindy</cp:lastModifiedBy>
  <dcterms:modified xsi:type="dcterms:W3CDTF">2026-08-01T20:06:35Z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2052-12.1.22218.22218</vt:lpwstr>
  </property>
  <property fmtid="{D5CDD505-2E9C-101B-9397-08002B2CF9AE}" pid="4" name="ICV">
    <vt:lpwstr>CDD5274CC1D44C419F88A10DFA15A0C6_12</vt:lpwstr>
  </property>
</Properties>
</file>