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120" w:after="80" w:line="300" w:lineRule="auto"/>
        <w:jc w:val="center"/>
      </w:pPr>
      <w:r>
        <w:rPr>
          <w:rFonts w:ascii="Calibri" w:hAnsi="Calibri" w:eastAsia="微软雅黑"/>
          <w:b/>
          <w:color w:val="0B2545"/>
          <w:sz w:val="36"/>
        </w:rPr>
        <w:t>SAGE-Mat：面向无机材料发现与合成规划的证据约束自循环智能体</w:t>
      </w:r>
    </w:p>
    <w:p>
      <w:pPr>
        <w:spacing w:after="60"/>
        <w:jc w:val="center"/>
      </w:pPr>
      <w:r>
        <w:rPr>
          <w:rFonts w:ascii="Calibri" w:hAnsi="Calibri" w:eastAsia="微软雅黑"/>
          <w:b w:val="0"/>
          <w:color w:val="5A6573"/>
          <w:sz w:val="20"/>
        </w:rPr>
        <w:t>GOAI 2026 · AI for Research 算法赛复赛报告 · 材料科学 · 第13队 科学无极</w:t>
      </w:r>
    </w:p>
    <w:p>
      <w:pPr>
        <w:spacing w:before="40" w:after="120"/>
        <w:jc w:val="center"/>
      </w:pPr>
      <w:r>
        <w:rPr>
          <w:rFonts w:ascii="Calibri" w:hAnsi="Calibri" w:eastAsia="微软雅黑"/>
          <w:b w:val="0"/>
          <w:color w:val="5A6573"/>
          <w:sz w:val="18"/>
        </w:rPr>
        <w:t xml:space="preserve">Evidence-Constrained Self-Cyclic Agent for Inorganic Material Discovery &amp; Synthesis Planning</w:t>
      </w:r>
    </w:p>
    <w:p>
      <w:pPr>
        <w:pBdr>
          <w:bottom w:val="single" w:sz="6" w:space="1" w:color="1F4D78"/>
        </w:pBdr>
        <w:spacing w:before="0" w:after="200"/>
      </w:pPr>
    </w:p>
    <w:p>
      <w:pPr>
        <w:pStyle w:val="3"/>
        <w:keepNext/>
        <w:keepLines/>
      </w:pPr>
      <w:r>
        <w:t>一、项目概述</w:t>
      </w:r>
    </w:p>
    <w:p>
      <w:pPr>
        <w:pStyle w:val="4"/>
        <w:keepNext/>
        <w:keepLines/>
      </w:pPr>
      <w:r>
        <w:t>1.1 项目名称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SAGE-Mat：面向无机材料发现与合成规划的证据约束自循环智能体（SAGE-Mat: Evidence-Constrained Self-Cyclic Agent for Inorganic Material Discovery &amp; Synthesis Planning）。开源实现名为 GoAI Research。</w:t>
      </w:r>
    </w:p>
    <w:p>
      <w:pPr>
        <w:pStyle w:val="4"/>
        <w:keepNext/>
        <w:keepLines/>
      </w:pPr>
      <w:r>
        <w:t>1.2 参赛方向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方向三“材料科学文献驱动的科学发现智能体”，进阶路线 C“合成路线与工艺设计”。</w:t>
      </w:r>
    </w:p>
    <w:p>
      <w:pPr>
        <w:pStyle w:val="4"/>
        <w:keepNext/>
        <w:keepLines/>
      </w:pPr>
      <w:r>
        <w:t>1.3 方案概述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SAGE-Mat 面向无机材料的文献调研与合成规划。研究者给出一个研究主题，系统依次完成文献检索、证据核验、综述写作和候选合成路线生成，输出中文综述、结构化证据包和可追溯的运行记录。系统分三层：认知层负责检索、写作、制图和实验构想；确定性工具层负责元数据核验、图纸渲染和前驱体预测；控制层用账本和九道流程闸门约束运行。任务是否完成由程序检查，不由模型自行判断。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复赛阶段完成了两个案例。LLZO 烧结致密化案例端到端跑通，得到 46 篇核验文献、10 页综述和 Top-5 前驱体路线，并据此修复了 11 类集成问题。正式案例以 Ba5Y12Zn[O(SiO4)]8 及其结构近邻为对象，从一行研究主题冷启动完成合成条件调研：51 篇文献全部通过存在性、元数据和作者顺序核验，正文含 100 条结论和 219 次引用，引用整合率 100%；两轮对抗审稿没有遗留 blocker 或 major 问题，随后按材料专家的 8 条意见修订为 23 页正式报告。此外，团队把 NeurIPS 2026 投稿工作 RECIPE 的两阶段无机前驱体预测模型接入系统，随包提交模型 checkpoint、最小加载与预测代码和必备原料库；模型在 2,558 条留出测试反应上的 Combo@1、Combo@20 和 Combo MRR 分别为 71.81、89.21 和 77.48，并通过 CPU dry run 确认可加载、可预测。</w:t>
      </w:r>
    </w:p>
    <w:p>
      <w:pPr>
        <w:pStyle w:val="3"/>
        <w:keepNext/>
        <w:keepLines/>
      </w:pPr>
      <w:r>
        <w:t>二、科学问题理解</w:t>
      </w:r>
    </w:p>
    <w:p>
      <w:pPr>
        <w:pStyle w:val="4"/>
        <w:keepNext/>
        <w:keepLines/>
      </w:pPr>
      <w:r>
        <w:t>2.1 科学问题与研究对象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无机功能材料的合成知识分散在大量论文的实验部分。原料与配比、温度—时间程序、气氛、坩埚与助熔剂、冷却方式和表征手段往往以自然语言零散记录，只有在实验语境一致时才能相互比较。面对新报道或仅有单篇报道的化合物，研究者需要判断：现有证据能把合成条件限定到什么程度，哪些条件可以从结构近邻迁移，哪些类比并不成立，以及下一步哪些实验最值得开展。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正式案例选择 2024 年首次报道的非中心对称硅酸盐 Ba5Y12Zn[O(SiO4)]8（下称 BYZSO）。公开文献中只有一篇直接合成报道，且缺少可独立复现的投料比、温程和冷却程序，属于“直接证据少、近邻证据多”的情形。Ba–Y–Si–O 四方谱系（如 Ba5Y13[SiO4]8O8.5、BaxY26Si16O71+x）、Ba–Zn–Si–O 结构端点（BaZnSiO4、Ba2ZnSi2O7、BaZnSi3O8）和 Y–Si–O 多型，分别在助熔生长、固相成相和高温结构稳定性方面提供参照。初赛案例 LLZO 石榴石固态电解质则代表另一类问题：文献很多，但低温致密化、两步烧结、冷烧结和超快烧结之间缺少跨掺杂体系的统一工艺图景。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这类问题的难点有三处。关键词检索容易混入综述、参考文献列表和跨体系讨论；“未检出”不等于“未研究”，别名和语料覆盖都可能造成假空白；温度、气氛、致密度和电导率等数值只有在实验语境一致时才可比较，误读一个升温节点或淬火温度就会得出虚假的规律或冲突。</w:t>
      </w:r>
    </w:p>
    <w:p>
      <w:pPr>
        <w:pStyle w:val="4"/>
        <w:keepNext/>
        <w:keepLines/>
      </w:pPr>
      <w:r>
        <w:t>2.2 科学意义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对 BYZSO 这类新化合物，本项目不直接给出单一“配方”，而是按证据来源划定合成条件的可迁移范围：哪些字段有直接证据，哪些条件只能参考近邻体系，哪些类比不能成立。在此基础上，系统围绕局部相图、Zn–Y–O 计量耦合、固相成相与高温溶液长晶并行，以及 Mg/​Co 类比，提出四类可检验的实验方向，并给出前驱体和工艺建议。前驱体来自预测模型，一律标注为“模型候选，待实验验证”。对 LLZO，重点从“寻找新掺杂”转向“建立可验证的工艺窗口”，其 Top-1 前驱体路线同时得到模型和文献支持。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本项目的产出也不止于一篇形式完整的综述：检索范围、原文证据、否决原因和验证方案都被保留下来。每条结论可追溯到引用键、DOI、核验记录以及可获取的原文段落；每张图保留可编辑源文件；每个流程判定都有账本记录。研究者因此能区分值得实验的问题、语料造成的假空白和条件不可比造成的假冲突。</w:t>
      </w:r>
    </w:p>
    <w:p>
      <w:pPr>
        <w:pStyle w:val="3"/>
        <w:keepNext/>
        <w:keepLines/>
      </w:pPr>
      <w:r>
        <w:t>三、技术方案与预期方法路线</w:t>
      </w:r>
    </w:p>
    <w:p>
      <w:pPr>
        <w:pStyle w:val="4"/>
        <w:keepNext/>
        <w:keepLines/>
      </w:pPr>
      <w:r>
        <w:t>3.1 技术方案</w:t>
      </w:r>
    </w:p>
    <w:p>
      <w:pPr>
        <w:spacing w:before="120" w:after="40"/>
        <w:keepNext/>
        <w:jc w:val="center"/>
      </w:pPr>
      <w:r>
        <w:drawing>
          <wp:inline distT="0" distB="0" distL="0" distR="0">
            <wp:extent cx="5770726" cy="3213600"/>
            <wp:docPr id="101" name="Figure10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Figure10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770726" cy="321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 w:eastAsia="微软雅黑"/>
          <w:b w:val="0"/>
          <w:i w:val="0"/>
          <w:color w:val="404040"/>
          <w:sz w:val="18"/>
        </w:rPr>
        <w:t xml:space="preserve">图 1　GoAI Research 流水线：发现阶段完成多源检索与引用核验；生产阶段并行生成分类法、图纸、实验构想和正文；质量回环通过对抗审稿、账本闸门与返工路由收敛。图件由 figspec 渲染器同源输出 SVG 与 draw.io。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系统采用认知层、确定性工具层和控制层相互分离的设计。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认知层包含 9 个以 Markdown 描述的智能体技能。goai-orchestrator 读取账本并按阶段分派任务；goai-lit-search 执行 arXiv、OpenAlex、Crossref、Semantic Scholar 和 DBLP 五源检索、引文滚雪球与本地全文检索，并生成覆盖率报告；goai-style-bank 从 30 篇经典综述中归纳写作和制图规范；goai-ref-guard 对引用的一手元数据逐字段复核；goai-survey-writer 依次完成分类法、写作蓝图和分节 LaTeX，只使用已核验的引用键，并要求近邻体系、既有实验结论和具体合成建议分别写清；goai-figure-studio 与 goai-figure-editable 负责可编辑矢量图；goai-idea-forge 根据覆盖缺口、矛盾信号和组合空位提出方向，并调用逆合成工具；goai-reviewer 以独立上下文从领域、方法和编辑三个视角审稿，输出可回流到责任阶段的结构化问题。上述技能构成提交包中的提示词全集。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确定性工具层包含 4 个 MCP 服务，共 25 个工具。goai-litsearch 负责在线检索、下载、入库、BibTeX 导出、覆盖率统计和本地全文查询；goai-refcheck 通过存在性、元数据和作者顺序三项检查核验文献；goai-figure 负责 figspec 校验、排版检查、SVG 与 mxGraph 双渲染及 SVG 到 draw.io 的转换；goai-retro 提供两阶段无机前驱体预测和实验方案生成。各工具均可离线测试，每次调用都写入 tool_​calls.jsonl。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控制层以 ledger.json 为账本。范围确认、文献覆盖、风格库、引用完整性、分类法、图纸、稿件、想法审稿和终审九道闸门均由 loopctl 读写。只有全部闸门落账、无 FAIL、无未关闭的 blocker 或 major，且审稿 PASS 指向实际存在的审稿记录时，check-done 才返回 0。审稿人与执行者职责分离；同一问题连续三轮未收敛时转人工处理。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逆合成部分接入团队投稿 NeurIPS 2026 的 RECIPE（Reranking Exact Candidate Inorganic Precursor Entries）。该方法把单步无机逆合成表述为变长前驱体集合的排序问题。第一阶段用 formula-token Transformer 对目标式与 798 种前驱体打分，得到 Top-30 高召回候选；经过与标签无关的化学兼容性过滤后，候选池限制为 15 种，枚举 2—5 元组合，典型情况下得到 4,928 个集合。第二阶段把目标条件化的集合 token 与 374 维集合描述子结合，描述元素覆盖、多余元素、共现和计量相容性，用 listwise 目标、强负样本间隔和元素覆盖辅助损失完成重排。工具返回 Top-K 完整集合、两阶段分数、候选池内概率和 checkpoint SHA-256。这些结果只能以“模型候选，待实验验证”（chemical_​route_​verified=false）的身份进入正文，随后还要补充文献证据并接受人工复核。</w:t>
      </w:r>
    </w:p>
    <w:p>
      <w:pPr>
        <w:pStyle w:val="4"/>
        <w:keepNext/>
        <w:keepLines/>
      </w:pPr>
      <w:r>
        <w:t>3.2 方法路线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正式运行的人工输入只有一行：“调研 Ba5Y12Zn[O(SiO4)]8 及其结构相近化合物的合成条件”。顶层编排器通过 codex exec --json 无人值守启动，按账本状态依次推进以下步骤。</w:t>
      </w:r>
    </w:p>
    <w:p>
      <w:pPr>
        <w:spacing w:after="80" w:line="330" w:lineRule="auto"/>
        <w:ind w:left="480" w:hanging="48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1. 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范围与对象核验：先把输入结构式作为待核对记号，检索规范化学式、空间群和原始报道；随后确定调研边界，报告篇幅为中文 8—12 页，“结构相近”仅按可验证的同构、同型或拓扑关系判断。</w:t>
      </w:r>
    </w:p>
    <w:p>
      <w:pPr>
        <w:spacing w:after="80" w:line="330" w:lineRule="auto"/>
        <w:ind w:left="480" w:hanging="48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2. 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检索与风格学习：围绕 8 个互不重叠的子主题开展五源检索、本地全文检索和引文滚雪球，共得到 63 条候选；同时建立写作风格库。</w:t>
      </w:r>
    </w:p>
    <w:p>
      <w:pPr>
        <w:spacing w:after="80" w:line="330" w:lineRule="auto"/>
        <w:ind w:left="480" w:hanging="48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3. 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引用核验：52 条文献接受存在性、元数据和作者顺序检查，其中 5 条因作者名规范化问题被判为 MISMATCH。连续三轮未收敛后，流程按规则转入人工处理，删除不影响主体结论的背景文献，最终 51 条全部 PASS。</w:t>
      </w:r>
    </w:p>
    <w:p>
      <w:pPr>
        <w:spacing w:after="80" w:line="330" w:lineRule="auto"/>
        <w:ind w:left="480" w:hanging="48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4. 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分类法与贡献确认：把内容组织为“身份谱系与证据分级”“路线—变量—验证矩阵”和“失败边界与条件迁移”三条主线。</w:t>
      </w:r>
    </w:p>
    <w:p>
      <w:pPr>
        <w:spacing w:after="80" w:line="330" w:lineRule="auto"/>
        <w:ind w:left="480" w:hanging="48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5. 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图纸、写作与实验构想并行：3 张图先形成视觉参照，再按 figspec 重建并输出 SVG 和 draw.io；11 个章节逐节写作，每条结论绑定引用键；实验构想阶段分别对 Zn、Mg 和 Co 三个目标调用 predict_​precursor_​routes。</w:t>
      </w:r>
    </w:p>
    <w:p>
      <w:pPr>
        <w:spacing w:after="80" w:line="330" w:lineRule="auto"/>
        <w:ind w:left="480" w:hanging="48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6. 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两轮对抗审稿：首轮发现 I5—I11 共 7 项问题，分别退回责任阶段修改；第二轮未检出 blocker、major 或 minor 问题。review_​pass 回执写入账本后，check-done 返回 0，得到 20 页 PDF。</w:t>
      </w:r>
    </w:p>
    <w:p>
      <w:pPr>
        <w:spacing w:after="80" w:line="330" w:lineRule="auto"/>
        <w:ind w:left="480" w:hanging="48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7. </w:t>
      </w: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专家意见修订：团队按材料专家的 8 条意见完成三轮修改，包括改用规范论文语言、在引言中突出研究目标、单列同类体系、汇总既有实验结论、把研究方向落实到工艺和前驱体、重绘学术图件、补充行文路线图，以及仅在助熔或慢冷与单晶终点同时出现时把 Pt/​Au 坩埚视为晶体生长证据。随后新增 academic_​language_​guard 术语检查，形成 23 页正式稿。</w:t>
      </w:r>
    </w:p>
    <w:p>
      <w:pPr>
        <w:pStyle w:val="4"/>
        <w:keepNext/>
        <w:keepLines/>
      </w:pPr>
      <w:r>
        <w:t>3.3 数据来源、依赖工具与运行流程</w:t>
      </w:r>
    </w:p>
    <w:p>
      <w:pPr>
        <w:spacing w:before="120" w:after="60"/>
        <w:keepNext/>
        <w:jc w:val="center"/>
      </w:pPr>
      <w:r>
        <w:rPr>
          <w:rFonts w:ascii="Calibri" w:hAnsi="Calibri" w:eastAsia="微软雅黑"/>
          <w:b w:val="0"/>
          <w:i w:val="0"/>
          <w:color w:val="404040"/>
          <w:sz w:val="18"/>
        </w:rPr>
        <w:t xml:space="preserve">表 1　数据来源、模型与依赖及其公开情况</w:t>
      </w:r>
    </w:p>
    <w:tbl>
      <w:tblPr>
        <w:tblW w:w="9878" w:type="dxa"/>
        <w:jc w:val="center"/>
        <w:tblBorders>
          <w:top w:val="single" w:sz="12" w:color="1F1F1F"/>
          <w:left w:val="nil"/>
          <w:right w:val="nil"/>
          <w:bottom w:val="single" w:sz="12" w:color="1F1F1F"/>
          <w:insideH w:val="single" w:sz="2" w:color="D0D0D0"/>
          <w:insideV w:val="nil"/>
        </w:tblBorders>
        <w:tblLayout w:type="fixed"/>
        <w:tblCellMar>
          <w:top w:w="50" w:type="dxa"/>
          <w:left w:w="80" w:type="dxa"/>
          <w:bottom w:w="50" w:type="dxa"/>
          <w:right w:w="80" w:type="dxa"/>
        </w:tblCellMar>
      </w:tblPr>
      <w:tblGrid>
        <w:gridCol w:w="1538"/>
        <w:gridCol w:w="5116"/>
        <w:gridCol w:w="3224"/>
      </w:tblGrid>
      <w:tr>
        <w:trPr>
          <w:cantSplit/>
          <w:tblHeader/>
        </w:trPr>
        <w:tc>
          <w:tcPr>
            <w:tcW w:w="1538" w:type="dxa"/>
            <w:shd w:val="clear" w:fill="F2F2F2"/>
            <w:tcBorders>
              <w:bottom w:val="single" w:sz="6" w:color="1F1F1F"/>
            </w:tcBorders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18"/>
              </w:rPr>
              <w:t xml:space="preserve">类别</w:t>
            </w:r>
          </w:p>
        </w:tc>
        <w:tc>
          <w:tcPr>
            <w:tcW w:w="5116" w:type="dxa"/>
            <w:shd w:val="clear" w:fill="F2F2F2"/>
            <w:tcBorders>
              <w:bottom w:val="single" w:sz="6" w:color="1F1F1F"/>
            </w:tcBorders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18"/>
              </w:rPr>
              <w:t xml:space="preserve">内容</w:t>
            </w:r>
          </w:p>
        </w:tc>
        <w:tc>
          <w:tcPr>
            <w:tcW w:w="3224" w:type="dxa"/>
            <w:shd w:val="clear" w:fill="F2F2F2"/>
            <w:tcBorders>
              <w:bottom w:val="single" w:sz="6" w:color="1F1F1F"/>
            </w:tcBorders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18"/>
              </w:rPr>
              <w:t xml:space="preserve">公开情况</w:t>
            </w:r>
          </w:p>
        </w:tc>
      </w:tr>
      <w:tr>
        <w:trPr>
          <w:cantSplit/>
        </w:trPr>
        <w:tc>
          <w:tcPr>
            <w:tcW w:w="1538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文献元数据</w:t>
            </w:r>
          </w:p>
        </w:tc>
        <w:tc>
          <w:tcPr>
            <w:tcW w:w="5116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Crossref、OpenAlex、arXiv、Semantic Scholar、DBLP（无需密钥的公开 API）</w:t>
            </w:r>
          </w:p>
        </w:tc>
        <w:tc>
          <w:tcPr>
            <w:tcW w:w="3224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公开</w:t>
            </w:r>
          </w:p>
        </w:tc>
      </w:tr>
      <w:tr>
        <w:trPr>
          <w:cantSplit/>
        </w:trPr>
        <w:tc>
          <w:tcPr>
            <w:tcW w:w="1538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全文库</w:t>
            </w:r>
          </w:p>
        </w:tc>
        <w:tc>
          <w:tcPr>
            <w:tcW w:w="5116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团队自建 Markdown 全文库（约 3,760 万篇，1990 年代—2021 年，Parquet 分片及 DOI 索引）</w:t>
            </w:r>
          </w:p>
        </w:tc>
        <w:tc>
          <w:tcPr>
            <w:tcW w:w="3224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不公开；复现包收录正式报告 51 篇被引文献中的 21 篇全文，其余 30 篇提供 DOI</w:t>
            </w:r>
          </w:p>
        </w:tc>
      </w:tr>
      <w:tr>
        <w:trPr>
          <w:cantSplit/>
        </w:trPr>
        <w:tc>
          <w:tcPr>
            <w:tcW w:w="1538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预测模型数据</w:t>
            </w:r>
          </w:p>
        </w:tc>
        <w:tc>
          <w:tcPr>
            <w:tcW w:w="5116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Retrieval-Retro 年份切分基准（源自 Ceder 文本挖掘合成数据集）：24,034 / 1,842 / 2,558</w:t>
            </w:r>
          </w:p>
        </w:tc>
        <w:tc>
          <w:tcPr>
            <w:tcW w:w="3224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原始基准已公开；仓库包含测试集和两个 checkpoint</w:t>
            </w:r>
          </w:p>
        </w:tc>
      </w:tr>
      <w:tr>
        <w:trPr>
          <w:cantSplit/>
        </w:trPr>
        <w:tc>
          <w:tcPr>
            <w:tcW w:w="1538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LLM 与运行框架</w:t>
            </w:r>
          </w:p>
        </w:tc>
        <w:tc>
          <w:tcPr>
            <w:tcW w:w="5116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Codex CLI 0.146.1，模型 gpt-5.6-sol，推理强度 xhigh；构建与运行轨迹分别提交</w:t>
            </w:r>
          </w:p>
        </w:tc>
        <w:tc>
          <w:tcPr>
            <w:tcW w:w="3224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见 SUBMISSION.md 第 2 节</w:t>
            </w:r>
          </w:p>
        </w:tc>
      </w:tr>
      <w:tr>
        <w:trPr>
          <w:cantSplit/>
        </w:trPr>
        <w:tc>
          <w:tcPr>
            <w:tcW w:w="1538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依赖</w:t>
            </w:r>
          </w:p>
        </w:tc>
        <w:tc>
          <w:tcPr>
            <w:tcW w:w="5116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Python ≥ 3.10、FastMCP、httpx、DuckDB、PyTorch 2.7、pymatgen；TeX（xelatex + ctex 或 tectonic）；draw.io CLI 可选</w:t>
            </w:r>
          </w:p>
        </w:tc>
        <w:tc>
          <w:tcPr>
            <w:tcW w:w="3224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pyproject.toml + uv.lock</w:t>
            </w:r>
          </w:p>
        </w:tc>
      </w:tr>
    </w:tbl>
    <w:p>
      <w:pPr>
        <w:spacing w:before="0" w:after="120"/>
      </w:pP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运行流程为：bash install.sh --retro 安装；bash scripts/​smoke_​test.sh --with-retro 做无网络、无 LLM 的冒烟测试（1—2 分钟）；bash scripts/​reproduce_​core.sh [--topic …] 重跑完整流程（需 Codex 登录、网络和 TeX）。</w:t>
      </w:r>
    </w:p>
    <w:p>
      <w:pPr>
        <w:pStyle w:val="3"/>
        <w:keepNext/>
        <w:keepLines/>
      </w:pPr>
      <w:r>
        <w:t>四、实验结果</w:t>
      </w:r>
    </w:p>
    <w:p>
      <w:pPr>
        <w:pStyle w:val="4"/>
        <w:keepNext/>
        <w:keepLines/>
      </w:pPr>
      <w:r>
        <w:t>4.1 实验设置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评测由两个案例和一个模型基准组成。正式案例 A 为 BYZSO 主题冷启动，2026 年 8 月 31 日至 9 月 1 日完成，9 月 2 日按专家意见修订；顶层编排器共调用 5 次（首轮运行及 4 个人工停点续跑），包含 29 批 40 个子任务，约 7,084 万输入 token 和 56.7 万输出 token，记录 223 次工具函数调用、205 次内置网页搜索，以及 134 条服务端审计的全文库与预测调用。案例 B 为 2026 年 8 月 29 日完成的 LLZO 烧结致密化诊断轮，包含 21 个任务和 49 次 MCP 调用。模型基准采用 RECIPE 在 Retro 留出测试集上的结果，共 2,558 条 2018 年后的反应；评测使用单一种子 20260504，参数为 top_​m=30、pool=15、集合大小 2—5，并按全部测试样本计算。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复赛期间共记录 8 组运行，其中包括一次停在文献阶段的失败冷启动，以及 9 月 3 日用同一系统对三个新主题各做一次的冷启动（LLZO 石榴石电解质、BaZn2Si2O7 近邻体系、Ba–Y–Zn–Si–O 相图导向合成，作为补充案例随包提交）。正式结果取最后一个同时通过 bib_​guard、tex_​guard、academic_​language_​guard 和 review_​pass 的版本，不在多次运行结果中择优；完整清单见 SUBMISSION.md 第 3 节。</w:t>
      </w:r>
    </w:p>
    <w:p>
      <w:pPr>
        <w:pStyle w:val="4"/>
        <w:keepNext/>
        <w:keepLines/>
      </w:pPr>
      <w:r>
        <w:t>4.2 案例 A：Ba5Y12Zn[O(SiO4)]8 合成条件调研</w:t>
      </w:r>
    </w:p>
    <w:p>
      <w:pPr>
        <w:spacing w:before="120" w:after="40"/>
        <w:keepNext/>
        <w:jc w:val="center"/>
      </w:pPr>
      <w:r>
        <w:drawing>
          <wp:inline distT="0" distB="0" distL="0" distR="0">
            <wp:extent cx="5958902" cy="3351882"/>
            <wp:docPr id="102" name="Figure10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Figure102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958902" cy="3351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 w:eastAsia="微软雅黑"/>
          <w:b w:val="0"/>
          <w:i w:val="0"/>
          <w:color w:val="404040"/>
          <w:sz w:val="18"/>
        </w:rPr>
        <w:t xml:space="preserve">图 2　正式报告的研究路线：从 Ba–Y–Si–O 近邻的组成空间和局部候选区出发，沿固相成相与高温溶液长晶两条路径获得候选晶相，再以粉末衍射、单晶结构和实际化学计量的互补表征结果反馈修正。</w:t>
      </w:r>
    </w:p>
    <w:p>
      <w:pPr>
        <w:spacing w:before="120" w:after="60"/>
        <w:keepNext/>
        <w:jc w:val="center"/>
      </w:pPr>
      <w:r>
        <w:rPr>
          <w:rFonts w:ascii="Calibri" w:hAnsi="Calibri" w:eastAsia="微软雅黑"/>
          <w:b w:val="0"/>
          <w:i w:val="0"/>
          <w:color w:val="404040"/>
          <w:sz w:val="18"/>
        </w:rPr>
        <w:t xml:space="preserve">表 2　案例 A 的产出与核验指标</w:t>
      </w:r>
    </w:p>
    <w:tbl>
      <w:tblPr>
        <w:tblW w:w="9878" w:type="dxa"/>
        <w:jc w:val="center"/>
        <w:tblBorders>
          <w:top w:val="single" w:sz="12" w:color="1F1F1F"/>
          <w:left w:val="nil"/>
          <w:right w:val="nil"/>
          <w:bottom w:val="single" w:sz="12" w:color="1F1F1F"/>
          <w:insideH w:val="single" w:sz="2" w:color="D0D0D0"/>
          <w:insideV w:val="nil"/>
        </w:tblBorders>
        <w:tblLayout w:type="fixed"/>
        <w:tblCellMar>
          <w:top w:w="50" w:type="dxa"/>
          <w:left w:w="80" w:type="dxa"/>
          <w:bottom w:w="50" w:type="dxa"/>
          <w:right w:w="80" w:type="dxa"/>
        </w:tblCellMar>
      </w:tblPr>
      <w:tblGrid>
        <w:gridCol w:w="1120"/>
        <w:gridCol w:w="8758"/>
      </w:tblGrid>
      <w:tr>
        <w:trPr>
          <w:cantSplit/>
          <w:tblHeader/>
        </w:trPr>
        <w:tc>
          <w:tcPr>
            <w:tcW w:w="1120" w:type="dxa"/>
            <w:shd w:val="clear" w:fill="F2F2F2"/>
            <w:tcBorders>
              <w:bottom w:val="single" w:sz="6" w:color="1F1F1F"/>
            </w:tcBorders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18"/>
              </w:rPr>
              <w:t xml:space="preserve">指标</w:t>
            </w:r>
          </w:p>
        </w:tc>
        <w:tc>
          <w:tcPr>
            <w:tcW w:w="8758" w:type="dxa"/>
            <w:shd w:val="clear" w:fill="F2F2F2"/>
            <w:tcBorders>
              <w:bottom w:val="single" w:sz="6" w:color="1F1F1F"/>
            </w:tcBorders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18"/>
              </w:rPr>
              <w:t xml:space="preserve">结果</w:t>
            </w:r>
          </w:p>
        </w:tc>
      </w:tr>
      <w:tr>
        <w:trPr>
          <w:cantSplit/>
        </w:trPr>
        <w:tc>
          <w:tcPr>
            <w:tcW w:w="1120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文献</w:t>
            </w:r>
          </w:p>
        </w:tc>
        <w:tc>
          <w:tcPr>
            <w:tcW w:w="8758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63 条候选 → 51 条入库，三项核验 51/​51 PASS</w:t>
            </w:r>
          </w:p>
        </w:tc>
      </w:tr>
      <w:tr>
        <w:trPr>
          <w:cantSplit/>
        </w:trPr>
        <w:tc>
          <w:tcPr>
            <w:tcW w:w="1120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正文</w:t>
            </w:r>
          </w:p>
        </w:tc>
        <w:tc>
          <w:tcPr>
            <w:tcW w:w="8758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23 页、11 章；100 条含引用结论、219 次引用、整合率 100%、引用密度 41.3 次/千词</w:t>
            </w:r>
          </w:p>
        </w:tc>
      </w:tr>
      <w:tr>
        <w:trPr>
          <w:cantSplit/>
        </w:trPr>
        <w:tc>
          <w:tcPr>
            <w:tcW w:w="1120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证据链</w:t>
            </w:r>
          </w:p>
        </w:tc>
        <w:tc>
          <w:tcPr>
            <w:tcW w:w="8758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54 条结论可从包内全文回读；36 条合成条件结论带原文页码或章节定位，并逐字段区分“可支持”与“不可支持”</w:t>
            </w:r>
          </w:p>
        </w:tc>
      </w:tr>
      <w:tr>
        <w:trPr>
          <w:cantSplit/>
        </w:trPr>
        <w:tc>
          <w:tcPr>
            <w:tcW w:w="1120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图纸</w:t>
            </w:r>
          </w:p>
        </w:tc>
        <w:tc>
          <w:tcPr>
            <w:tcW w:w="8758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3 张，figspec 同源输出 SVG 与 draw.io，均通过排版检查</w:t>
            </w:r>
          </w:p>
        </w:tc>
      </w:tr>
      <w:tr>
        <w:trPr>
          <w:cantSplit/>
        </w:trPr>
        <w:tc>
          <w:tcPr>
            <w:tcW w:w="1120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审稿</w:t>
            </w:r>
          </w:p>
        </w:tc>
        <w:tc>
          <w:tcPr>
            <w:tcW w:w="8758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两轮，最终 0 blocker / 0 major / 0 minor（同系列模型冷启动复审，provisional=true）</w:t>
            </w:r>
          </w:p>
        </w:tc>
      </w:tr>
      <w:tr>
        <w:trPr>
          <w:cantSplit/>
        </w:trPr>
        <w:tc>
          <w:tcPr>
            <w:tcW w:w="1120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前驱体预测</w:t>
            </w:r>
          </w:p>
        </w:tc>
        <w:tc>
          <w:tcPr>
            <w:tcW w:w="8758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Zn 目标 Top-1：ZnO + Y2O3 + SiO2 + BaCO3（候选池内概率 0.594）；Mg 类比 Top-1：MgO + Y2O3 + BaCO3 + SiO2（0.522）；Co 类比 Top-1：Co3O4 + …（0.298，前三名反映 Co 氧化态的不确定性）</w:t>
            </w:r>
          </w:p>
        </w:tc>
      </w:tr>
    </w:tbl>
    <w:p>
      <w:pPr>
        <w:spacing w:before="0" w:after="120"/>
      </w:pP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证据核查得到以下结论。目标相的公开证据只能确认“开放体系高温溶液法和单晶 X 射线衍射鉴定”，不足以支持一套经过验证的复现配方。无 Zn 的 Ba–Y–Si–O 四方谱系提供了三类可比路线：MoO3 助熔生长（Pt 坩埚、1150 °C、2 K/​h 慢冷）、Ba:Y:Si = x:26:16 固相陶瓷（1300 °C 煅烧、1600 °C 烧成）和 5:13:8 粉体相场筛查（1273 K 预烧、1573 K 三次退火）。这些数值不能直接迁移到目标相。现有结果还表明，组成坐标比单一最高温度更能解释成相差异；获得单晶不等于建立批量相纯窗口，因此局部相图是连接复现与新发现的关键实验。据此，报告提出四个研究方向，并分别给出前驱体和工艺建议。</w:t>
      </w:r>
    </w:p>
    <w:p>
      <w:pPr>
        <w:pStyle w:val="4"/>
        <w:keepNext/>
        <w:keepLines/>
      </w:pPr>
      <w:r>
        <w:t>4.3 案例 B：LLZO 烧结致密化诊断轮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LLZO 诊断轮覆盖六个子主题，共核验 46 篇文献；修正 3 条元数据后，引用检查 46/​46 PASS，生成 10 页 A4 综述。两阶段模型给出的 Top-1 前驱体 ZrO2、La2O3 和 Li2CO3 与文献一致；Top-2 至 Top-5 中的 LiHO、La(HO)3 等命名存在疑点，因此统一标注为“模型输出已验证，化学路线未验证”。首轮审稿发现 4 个 major 问题，其中 2 个已修复并关闭。该轮还暴露出 11 类集成问题：MCP 审批配置、工作目录错误、并行写库竞争、exit=0 假成功、旧产物假成功、上下文膨胀、上游限流、图片排版检查假绿、retro 字段不兼容、测试契约漂移和同模型审稿独立性不足；相关修复记录见 docs/​FAILURE_​MODE_​FIXES.md。对 Li6PS5Cl、Li3YCl6 和 LATP 的补充分析中，三者的 Top-1 模型路线均通过文献复核。</w:t>
      </w:r>
    </w:p>
    <w:p>
      <w:pPr>
        <w:pStyle w:val="4"/>
        <w:keepNext/>
        <w:keepLines/>
      </w:pPr>
      <w:r>
        <w:t>4.4 前驱体预测基准（RECIPE 接入部分）</w:t>
      </w:r>
    </w:p>
    <w:p>
      <w:pPr>
        <w:spacing w:before="120" w:after="60"/>
        <w:keepNext/>
        <w:jc w:val="center"/>
      </w:pPr>
      <w:r>
        <w:rPr>
          <w:rFonts w:ascii="Calibri" w:hAnsi="Calibri" w:eastAsia="微软雅黑"/>
          <w:b w:val="0"/>
          <w:i w:val="0"/>
          <w:color w:val="404040"/>
          <w:sz w:val="18"/>
        </w:rPr>
        <w:t xml:space="preserve">表 3　RECIPE 两阶段模型在 Retro 留出测试集上的结果（2,558 条，按全部样本计算）</w:t>
      </w:r>
    </w:p>
    <w:tbl>
      <w:tblPr>
        <w:tblW w:w="9878" w:type="dxa"/>
        <w:jc w:val="center"/>
        <w:tblBorders>
          <w:top w:val="single" w:sz="12" w:color="1F1F1F"/>
          <w:left w:val="nil"/>
          <w:right w:val="nil"/>
          <w:bottom w:val="single" w:sz="12" w:color="1F1F1F"/>
          <w:insideH w:val="single" w:sz="2" w:color="D0D0D0"/>
          <w:insideV w:val="nil"/>
        </w:tblBorders>
        <w:tblLayout w:type="fixed"/>
        <w:tblCellMar>
          <w:top w:w="50" w:type="dxa"/>
          <w:left w:w="80" w:type="dxa"/>
          <w:bottom w:w="50" w:type="dxa"/>
          <w:right w:w="80" w:type="dxa"/>
        </w:tblCellMar>
      </w:tblPr>
      <w:tblGrid>
        <w:gridCol w:w="4049"/>
        <w:gridCol w:w="2079"/>
        <w:gridCol w:w="1528"/>
        <w:gridCol w:w="2222"/>
      </w:tblGrid>
      <w:tr>
        <w:trPr>
          <w:cantSplit/>
          <w:tblHeader/>
        </w:trPr>
        <w:tc>
          <w:tcPr>
            <w:tcW w:w="4049" w:type="dxa"/>
            <w:shd w:val="clear" w:fill="F2F2F2"/>
            <w:tcBorders>
              <w:bottom w:val="single" w:sz="6" w:color="1F1F1F"/>
            </w:tcBorders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18"/>
              </w:rPr>
              <w:t xml:space="preserve">指标</w:t>
            </w:r>
          </w:p>
        </w:tc>
        <w:tc>
          <w:tcPr>
            <w:tcW w:w="2079" w:type="dxa"/>
            <w:shd w:val="clear" w:fill="F2F2F2"/>
            <w:tcBorders>
              <w:bottom w:val="single" w:sz="6" w:color="1F1F1F"/>
            </w:tcBorders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18"/>
              </w:rPr>
              <w:t xml:space="preserve">checkpoint 评测汇总</w:t>
            </w:r>
          </w:p>
        </w:tc>
        <w:tc>
          <w:tcPr>
            <w:tcW w:w="1528" w:type="dxa"/>
            <w:shd w:val="clear" w:fill="F2F2F2"/>
            <w:tcBorders>
              <w:bottom w:val="single" w:sz="6" w:color="1F1F1F"/>
            </w:tcBorders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18"/>
              </w:rPr>
              <w:t xml:space="preserve">论文三种子均值</w:t>
            </w:r>
          </w:p>
        </w:tc>
        <w:tc>
          <w:tcPr>
            <w:tcW w:w="2222" w:type="dxa"/>
            <w:shd w:val="clear" w:fill="F2F2F2"/>
            <w:tcBorders>
              <w:bottom w:val="single" w:sz="6" w:color="1F1F1F"/>
            </w:tcBorders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18"/>
              </w:rPr>
              <w:t xml:space="preserve">Retrieval-Retro 基线</w:t>
            </w:r>
          </w:p>
        </w:tc>
      </w:tr>
      <w:tr>
        <w:trPr>
          <w:cantSplit/>
        </w:trPr>
        <w:tc>
          <w:tcPr>
            <w:tcW w:w="4049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第一阶段 Top-20 前驱体覆盖率</w:t>
            </w:r>
          </w:p>
        </w:tc>
        <w:tc>
          <w:tcPr>
            <w:tcW w:w="2079" w:type="dxa"/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95.78</w:t>
            </w:r>
          </w:p>
        </w:tc>
        <w:tc>
          <w:tcPr>
            <w:tcW w:w="1528" w:type="dxa"/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95.93 ± 0.18</w:t>
            </w:r>
          </w:p>
        </w:tc>
        <w:tc>
          <w:tcPr>
            <w:tcW w:w="2222" w:type="dxa"/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92.96</w:t>
            </w:r>
          </w:p>
        </w:tc>
      </w:tr>
      <w:tr>
        <w:trPr>
          <w:cantSplit/>
        </w:trPr>
        <w:tc>
          <w:tcPr>
            <w:tcW w:w="4049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Combo@1</w:t>
            </w:r>
          </w:p>
        </w:tc>
        <w:tc>
          <w:tcPr>
            <w:tcW w:w="2079" w:type="dxa"/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71.81</w:t>
            </w:r>
          </w:p>
        </w:tc>
        <w:tc>
          <w:tcPr>
            <w:tcW w:w="1528" w:type="dxa"/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71.70 ± 0.10</w:t>
            </w:r>
          </w:p>
        </w:tc>
        <w:tc>
          <w:tcPr>
            <w:tcW w:w="2222" w:type="dxa"/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60.40</w:t>
            </w:r>
          </w:p>
        </w:tc>
      </w:tr>
      <w:tr>
        <w:trPr>
          <w:cantSplit/>
        </w:trPr>
        <w:tc>
          <w:tcPr>
            <w:tcW w:w="4049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Combo@5</w:t>
            </w:r>
          </w:p>
        </w:tc>
        <w:tc>
          <w:tcPr>
            <w:tcW w:w="2079" w:type="dxa"/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84.71</w:t>
            </w:r>
          </w:p>
        </w:tc>
        <w:tc>
          <w:tcPr>
            <w:tcW w:w="1528" w:type="dxa"/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84.52 ± 1.48</w:t>
            </w:r>
          </w:p>
        </w:tc>
        <w:tc>
          <w:tcPr>
            <w:tcW w:w="2222" w:type="dxa"/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66.22</w:t>
            </w:r>
          </w:p>
        </w:tc>
      </w:tr>
      <w:tr>
        <w:trPr>
          <w:cantSplit/>
        </w:trPr>
        <w:tc>
          <w:tcPr>
            <w:tcW w:w="4049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Combo@20</w:t>
            </w:r>
          </w:p>
        </w:tc>
        <w:tc>
          <w:tcPr>
            <w:tcW w:w="2079" w:type="dxa"/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89.21</w:t>
            </w:r>
          </w:p>
        </w:tc>
        <w:tc>
          <w:tcPr>
            <w:tcW w:w="1528" w:type="dxa"/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89.82 ± 1.74</w:t>
            </w:r>
          </w:p>
        </w:tc>
        <w:tc>
          <w:tcPr>
            <w:tcW w:w="2222" w:type="dxa"/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69.00</w:t>
            </w:r>
          </w:p>
        </w:tc>
      </w:tr>
      <w:tr>
        <w:trPr>
          <w:cantSplit/>
        </w:trPr>
        <w:tc>
          <w:tcPr>
            <w:tcW w:w="4049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Combo MRR</w:t>
            </w:r>
          </w:p>
        </w:tc>
        <w:tc>
          <w:tcPr>
            <w:tcW w:w="2079" w:type="dxa"/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77.48</w:t>
            </w:r>
          </w:p>
        </w:tc>
        <w:tc>
          <w:tcPr>
            <w:tcW w:w="1528" w:type="dxa"/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77.43 ± 0.69</w:t>
            </w:r>
          </w:p>
        </w:tc>
        <w:tc>
          <w:tcPr>
            <w:tcW w:w="2222" w:type="dxa"/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63.29</w:t>
            </w:r>
          </w:p>
        </w:tc>
      </w:tr>
      <w:tr>
        <w:trPr>
          <w:cantSplit/>
        </w:trPr>
        <w:tc>
          <w:tcPr>
            <w:tcW w:w="4049" w:type="dxa"/>
            <w:vAlign w:val="center"/>
          </w:tcPr>
          <w:p>
            <w:pPr>
              <w:spacing w:before="20" w:after="20" w:line="260" w:lineRule="auto"/>
              <w:jc w:val="left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相同枚举 product 对照 Combo@1 / MRR</w:t>
            </w:r>
          </w:p>
        </w:tc>
        <w:tc>
          <w:tcPr>
            <w:tcW w:w="2079" w:type="dxa"/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11.65 / 23.24</w:t>
            </w:r>
          </w:p>
        </w:tc>
        <w:tc>
          <w:tcPr>
            <w:tcW w:w="1528" w:type="dxa"/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11.65 / 23.24</w:t>
            </w:r>
          </w:p>
        </w:tc>
        <w:tc>
          <w:tcPr>
            <w:tcW w:w="2222" w:type="dxa"/>
            <w:vAlign w:val="center"/>
          </w:tcPr>
          <w:p>
            <w:pPr>
              <w:spacing w:before="20" w:after="20" w:line="260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18"/>
              </w:rPr>
              <w:t xml:space="preserve">—</w:t>
            </w:r>
          </w:p>
        </w:tc>
      </w:tr>
    </w:tbl>
    <w:p>
      <w:pPr>
        <w:spacing w:before="0" w:after="120"/>
      </w:pP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逆合成部分采用最小可复现交付：两个 checkpoint、最小加载与预测代码（server/​core/​inorganic_​retro.py 和 vendor/​two_​stage_​retro/）及必备原料库，未另附评测脚本。表中结果来自随 checkpoint 提交的源包评测汇总，使用单一种子 20260504，均落在论文三种子结果区间内。tools/​retro_​dry_​run.py 与 MCP 工具使用同一推理路径，可在 CPU 上完成 checkpoint 核验、化学先验构建和预测；干净环境实测 Li7La3Zr2O12 的 Top-1 路线为 ZrO2、La2O3 和 Li2CO3，与正式运行记录一致。对照行说明，性能增益主要来自学习到的集合级排序，而非候选枚举或过滤本身。在论文收集的 20 个分布外目标上，RECIPE 的 Combo@1 和 Combo@20 分别为 55.00 和 85.00，Retrieval-Retro 的 Combo@1 为 40.00。这与案例中的观察一致：Top-1 通常较可靠，Top-2 以后仍需文献和人工复核。</w:t>
      </w:r>
    </w:p>
    <w:p>
      <w:pPr>
        <w:pStyle w:val="4"/>
        <w:keepNext/>
        <w:keepLines/>
      </w:pPr>
      <w:r>
        <w:t>4.5 系统级指标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离线测试套件（提交时 70 项）全部通过，覆盖 BibTeX 往返、作者比对、figspec 校验与排版检查、SVG 与 draw.io 互转、本地全文检索与受限读取、账本 12 个并发写入者零丢失、check-done 语义与回执校验、bib/​tex/​术语闸门与 PDF 来源闸门，以及提交轨迹脱敏与 JSONL 规范化。真实五源检索、draw.io 导出和完整迷你综述回环等实测记录保存于 docs/​live-tests/。</w:t>
      </w:r>
    </w:p>
    <w:p>
      <w:pPr>
        <w:pStyle w:val="4"/>
        <w:keepNext/>
        <w:keepLines/>
      </w:pPr>
      <w:r>
        <w:t>4.6 科学意义解释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BYZSO 与 LLZO 分别代表“文献稀缺”和“文献丰富但条件难以直接比较”两种情形。在两个案例中，证据约束与机械闸门都使调研结论和实验建议能够逐条核对，而不是停留在无法追溯的综述文本。对材料研究者，这意味着文献梳理的时间被压缩到一次运行，同时每条结论都能回到 DOI、核验记录和原文证据接受检查。</w:t>
      </w:r>
    </w:p>
    <w:p>
      <w:pPr>
        <w:pStyle w:val="3"/>
        <w:keepNext/>
        <w:keepLines/>
      </w:pPr>
      <w:r>
        <w:t>五、复现与开放计划</w:t>
      </w:r>
    </w:p>
    <w:p>
      <w:pPr>
        <w:pStyle w:val="4"/>
        <w:keepNext/>
        <w:keepLines/>
      </w:pPr>
      <w:r>
        <w:t>5.1 复现方式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复现分三个层次。bash install.sh --retro 完成安装；bash scripts/​smoke_​test.sh --with-retro 在干净环境、无网络和无 LLM 条件下，于 1—2 分钟内检查环境、4 个 MCP 服务、全部离线测试、公开知识库、结论—证据链和图纸渲染；tools/​retro_​dry_​run.py 在 CPU 上加载模型并完成预测；bash scripts/​reproduce_​core.sh 用相同主题、模型和推理强度重跑完整流程。由于 LLM 输出不能逐字复现，核心判据设为：账本 check-done 返回 0，CITATION_​AUDIT 全部 PASS，bib_​guard 引用整合率不低于 90%，并生成 PDF、BibTeX、图源和逐子任务 JSONL 轨迹；脚本只有在这些条件全部满足时才返回 0，并写出 REPRODUCTION_​RECEIPT.json。主要结论、图件和指标均可沿“代码版本—配置—数据—日志或轨迹—结果文件”回溯，完整示例见 SUBMISSION.md 第 6 节。</w:t>
      </w:r>
    </w:p>
    <w:p>
      <w:pPr>
        <w:pStyle w:val="4"/>
        <w:keepNext/>
        <w:keepLines/>
      </w:pPr>
      <w:r>
        <w:t>5.2 开源计划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项目仓库 </w:t>
      </w:r>
      <w:hyperlink r:id="rIdHl1" w:history="1">
        <w:r>
          <w:rPr>
            <w:rFonts w:ascii="Calibri" w:hAnsi="Calibri" w:eastAsia="微软雅黑"/>
            <w:color w:val="1F4D78"/>
            <w:u w:val="single"/>
            <w:sz w:val="21"/>
          </w:rPr>
          <w:t xml:space="preserve">https://github.com/​asimfish/​goai_​research</w:t>
        </w:r>
      </w:hyperlink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 以 MIT 许可证开放源代码、提示词、配置模板、预测模型推理代码与 checkpoint，以及正式运行的输入、账本、审计日志、子任务轨迹、构建阶段智能体轨迹、证据包和指标。截止前的提交版本固定为标签 goai-final-2026-09-03；截止后按官方六项材料整理目录并重新打包的版本为 goai-final-2026-09-03-r2，两者的正式结果文件相同。可单独复用的模块包括任意主题综述回环、引用零信任核验、figspec 可编辑图纸流程和无机前驱体预测 MCP 工具。</w:t>
      </w:r>
    </w:p>
    <w:p>
      <w:pPr>
        <w:pStyle w:val="4"/>
        <w:keepNext/>
        <w:keepLines/>
      </w:pPr>
      <w:r>
        <w:t>5.3 依赖、数据来源与合规披露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唯一闭源依赖为通过 Codex CLI 调用的 OpenAI 模型 gpt-5.6-sol（账号订阅），其不可逐字复现性已在 5.1 节说明。开源依赖包括 FastMCP、httpx、DuckDB、PyTorch、pymatgen、ripgrep 和可选的 draw.io。外部数据来自 Crossref、OpenAlex、arXiv、Semantic Scholar 和 DBLP 元数据，相关服务条款允许非商业检索；Retrieval-Retro 基准数据已随原工作公开。私有全文库不公开，复现包仅收录 51 篇被引文献中的 21 篇全文，并注明“仅供评审复现，出版社保留版权，不得二次分发”；这会限制本地全文检索范围，但不影响在线检索和元数据核验。提交包不含密钥或认证信息。</w:t>
      </w:r>
    </w:p>
    <w:p>
      <w:pPr>
        <w:pStyle w:val="3"/>
        <w:keepNext/>
        <w:keepLines/>
      </w:pPr>
      <w:r>
        <w:t>六、团队介绍</w:t>
      </w:r>
    </w:p>
    <w:p>
      <w:pPr>
        <w:pStyle w:val="4"/>
        <w:keepNext/>
        <w:keepLines/>
      </w:pPr>
      <w:r>
        <w:t>6.1 成员背景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队名科学无极，参赛编号第13队（TeamNo.13），方向材料科学（MaterialsScience）。团队由三名博士成员组成：高京，上海交通大学；吕丁阳，中国科学院大学；李雨峰，上海交通大学。成员专长覆盖材料文献理解、科学问题识别、科研智能体设计、模型训练和逆合成评价。</w:t>
      </w:r>
    </w:p>
    <w:p>
      <w:pPr>
        <w:pStyle w:val="4"/>
        <w:keepNext/>
        <w:keepLines/>
      </w:pPr>
      <w:r>
        <w:t>6.2 团队分工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高京负责总体协调、科学问题定义、LLZO 与 BYZSO 案例的材料学边界审查、私有全文库与精简知识库维护及复赛报告统稿；吕丁阳负责智能体架构、任务编排与回环协议、证据校准和引用核验，以及构建与运行轨迹、复现脚本的整理；李雨峰负责 RECIPE 两阶段逆合成模型的训练、评测和 MCP 接入，以及 figspec 图纸流程、排版检查和仓库工程质量。三名成员共同完成人工终审、合成路线合理性复核和最终提交检查。</w:t>
      </w:r>
    </w:p>
    <w:p>
      <w:pPr>
        <w:pStyle w:val="4"/>
        <w:keepNext/>
        <w:keepLines/>
      </w:pPr>
      <w:r>
        <w:t>6.3 团队成果</w:t>
      </w:r>
    </w:p>
    <w:p>
      <w:pPr>
        <w:spacing w:after="80" w:line="330" w:lineRule="auto"/>
        <w:ind w:firstLine="420"/>
        <w:jc w:val="both"/>
      </w:pPr>
      <w:r>
        <w:rPr>
          <w:rFonts w:ascii="Calibri" w:hAnsi="Calibri" w:eastAsia="微软雅黑"/>
          <w:b w:val="0"/>
          <w:i w:val="0"/>
          <w:color w:val="000000"/>
          <w:sz w:val="21"/>
        </w:rPr>
        <w:t xml:space="preserve">团队已有 SafeLab ICML 2026 论文成果，曾在 AI4Science 黑客松上海站和北京站分别获得三等奖；RECIPE 无机逆合成工作已投稿 NeurIPS 2026。</w:t>
      </w:r>
    </w:p>
    <w:sectPr>
      <w:footerReference r:id="rId5" w:type="default"/>
      <w:pgSz w:w="12240" w:h="15840"/>
      <w:pgMar w:top="1008" w:right="1181" w:bottom="893" w:left="1181" w:header="432" w:footer="432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2000000" w:usb3="00000000" w:csb0="2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altName w:val="汉仪旗黑"/>
    <w:panose1 w:val="020B0503020204020204"/>
    <w:charset w:val="86"/>
    <w:family w:val="auto"/>
    <w:pitch w:val="default"/>
    <w:sig w:usb0="00000000" w:usb1="00000000" w:usb2="00000016" w:usb3="00000000" w:csb0="0004001F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EE1932">
    <w:pPr>
      <w:pStyle w:val="24"/>
      <w:jc w:val="right"/>
    </w:pPr>
    <w:r>
      <w:rPr>
        <w:rFonts w:hint="eastAsia" w:ascii="Calibri" w:hAnsi="Calibri"/>
        <w:b w:val="0"/>
        <w:i w:val="0"/>
        <w:color w:val="5A6573"/>
        <w:sz w:val="17"/>
        <w:lang w:eastAsia="zh-CN"/>
      </w:rPr>
      <w:t>GOAI AI for Research赛道</w:t>
    </w:r>
    <w:r>
      <w:rPr>
        <w:rFonts w:ascii="Calibri" w:hAnsi="Calibri" w:eastAsia="微软雅黑"/>
        <w:b w:val="0"/>
        <w:i w:val="0"/>
        <w:color w:val="5A6573"/>
        <w:sz w:val="17"/>
      </w:rPr>
      <w:t xml:space="preserve"> | 算法赛复赛报告 · 科学无极 · SAGE-Mat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69" w:lineRule="auto"/>
      </w:pPr>
      <w:r>
        <w:separator/>
      </w:r>
    </w:p>
  </w:footnote>
  <w:footnote w:type="continuationSeparator" w:id="1">
    <w:p>
      <w:pPr>
        <w:spacing w:before="0" w:after="0" w:line="26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6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5567B46"/>
    <w:rsid w:val="3F6DDC68"/>
    <w:rsid w:val="49184B37"/>
    <w:rsid w:val="4B3D7BCD"/>
    <w:rsid w:val="629433AC"/>
    <w:rsid w:val="664870AD"/>
    <w:rsid w:val="6E075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qFormat="1"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69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60" w:after="100"/>
      <w:outlineLvl w:val="0"/>
    </w:pPr>
    <w:rPr>
      <w:rFonts w:asciiTheme="majorHAnsi" w:hAnsiTheme="majorHAnsi" w:eastAsiaTheme="majorEastAsia" w:cstheme="majorBidi"/>
      <w:b/>
      <w:bCs/>
      <w:color w:val="2E74B5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80" w:after="60"/>
      <w:outlineLvl w:val="1"/>
    </w:pPr>
    <w:rPr>
      <w:rFonts w:asciiTheme="majorHAnsi" w:hAnsiTheme="majorHAnsi" w:eastAsiaTheme="majorEastAsia" w:cstheme="majorBidi"/>
      <w:b/>
      <w:bCs/>
      <w:color w:val="1F4D78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20" w:after="40"/>
      <w:outlineLvl w:val="2"/>
    </w:pPr>
    <w:rPr>
      <w:rFonts w:asciiTheme="majorHAnsi" w:hAnsiTheme="majorHAnsi" w:eastAsiaTheme="majorEastAsia" w:cstheme="majorBidi"/>
      <w:b/>
      <w:bCs/>
      <w:color w:val="1F4D78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Hl1" Type="http://schemas.openxmlformats.org/officeDocument/2006/relationships/hyperlink" Target="https://github.com/&#8203;asimfish/&#8203;goai_&#8203;resear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542</Words>
  <Characters>580</Characters>
  <Lines>0</Lines>
  <Paragraphs>0</Paragraphs>
  <TotalTime>0</TotalTime>
  <ScaleCrop>false</ScaleCrop>
  <LinksUpToDate>false</LinksUpToDate>
  <CharactersWithSpaces>597</CharactersWithSpaces>
  <Application>WPS Office_12.1.22218.22218_F1E327BC-269C-435d-A152-05C5408002CA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cindy</cp:lastModifiedBy>
  <dcterms:modified xsi:type="dcterms:W3CDTF">2026-08-01T20:06:35Z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eyJoZGlkIjoiYTQ1NjY0NDMzN2NjOWRlMTc1ZWMzYmI4MmZlYTNhOTQiLCJ1c2VySWQiOiI5MDEyMDI0NDkifQ==</vt:lpwstr>
  </property>
  <property fmtid="{D5CDD505-2E9C-101B-9397-08002B2CF9AE}" pid="3" name="KSOProductBuildVer">
    <vt:lpwstr>2052-12.1.22218.22218</vt:lpwstr>
  </property>
  <property fmtid="{D5CDD505-2E9C-101B-9397-08002B2CF9AE}" pid="4" name="ICV">
    <vt:lpwstr>CDD5274CC1D44C419F88A10DFA15A0C6_12</vt:lpwstr>
  </property>
</Properties>
</file>