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20" w:after="80" w:line="300" w:lineRule="auto"/>
        <w:jc w:val="center"/>
      </w:pPr>
      <w:r>
        <w:rPr>
          <w:rFonts w:ascii="Calibri" w:hAnsi="Calibri" w:eastAsia="微软雅黑"/>
          <w:b/>
          <w:color w:val="0B2545"/>
          <w:sz w:val="36"/>
        </w:rPr>
        <w:t>SAGE-Mat：面向无机材料发现与合成规划的证据约束自循环智能体</w:t>
      </w:r>
    </w:p>
    <w:p>
      <w:pPr>
        <w:spacing w:after="60"/>
        <w:jc w:val="center"/>
      </w:pPr>
      <w:r>
        <w:rPr>
          <w:rFonts w:ascii="Calibri" w:hAnsi="Calibri" w:eastAsia="微软雅黑"/>
          <w:b w:val="0"/>
          <w:color w:val="5A6573"/>
          <w:sz w:val="20"/>
        </w:rPr>
        <w:t>GOAI 2026 · AI for Research 算法赛复赛报告 · 材料科学 · 第13队 科学无极</w:t>
      </w:r>
    </w:p>
    <w:p>
      <w:pPr>
        <w:spacing w:before="40" w:after="120"/>
        <w:jc w:val="center"/>
      </w:pPr>
      <w:r>
        <w:rPr>
          <w:rFonts w:ascii="Calibri" w:hAnsi="Calibri" w:eastAsia="微软雅黑"/>
          <w:b w:val="0"/>
          <w:color w:val="5A6573"/>
          <w:sz w:val="18"/>
        </w:rPr>
        <w:t xml:space="preserve">Evidence-Constrained Self-Cyclic Agent for Inorganic Material Discovery &amp; Synthesis Planning</w:t>
      </w:r>
    </w:p>
    <w:p>
      <w:pPr>
        <w:pBdr>
          <w:bottom w:val="single" w:sz="6" w:space="1" w:color="1F4D78"/>
        </w:pBdr>
        <w:spacing w:before="0" w:after="200"/>
      </w:pPr>
    </w:p>
    <w:p>
      <w:pPr>
        <w:pStyle w:val="3"/>
        <w:keepNext/>
        <w:keepLines/>
      </w:pPr>
      <w:r>
        <w:t>一、项目概述</w:t>
      </w:r>
    </w:p>
    <w:p>
      <w:pPr>
        <w:pStyle w:val="4"/>
        <w:keepNext/>
        <w:keepLines/>
      </w:pPr>
      <w:r>
        <w:t>1.1 项目名称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SAGE-Mat：面向无机材料发现与合成规划的证据约束自循环智能体（SAGE-Mat: Evidence-Constrained Self-Cyclic Agent for Inorganic Material Discovery &amp; Synthesis Planning）。开源实现名为 GoAI Research。</w:t>
      </w:r>
    </w:p>
    <w:p>
      <w:pPr>
        <w:pStyle w:val="4"/>
        <w:keepNext/>
        <w:keepLines/>
      </w:pPr>
      <w:r>
        <w:t>1.2 参赛方向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方向三“材料科学文献驱动的科学发现智能体”，进阶路线 C“合成路线与工艺设计”。</w:t>
      </w:r>
    </w:p>
    <w:p>
      <w:pPr>
        <w:pStyle w:val="4"/>
        <w:keepNext/>
        <w:keepLines/>
      </w:pPr>
      <w:r>
        <w:t>1.3 方案概述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SAGE-Mat 面向无机材料的文献调研与合成规划。研究者给出一个研究主题，系统依次完成文献检索、证据核验、综述写作和候选合成路线生成，输出中文综述、结构化证据包和可追溯的运行记录。系统分三层：认知层负责检索、写作、制图和实验构想；确定性工具层负责元数据核验、图纸渲染和前驱体预测；控制层用账本和九道流程闸门约束运行。任务是否完成由程序检查，不由模型自行判断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复赛阶段完成了两个案例。LLZO 烧结致密化案例端到端跑通，得到 46 篇核验文献、10 页综述和 Top-5 前驱体路线，并据此修复了 11 类集成问题。正式案例以 Ba5Y12Zn[O(SiO4)]8 及其结构近邻为对象，从一行研究主题冷启动完成合成条件调研：51 篇文献全部通过存在性、元数据和作者顺序核验，正文含 100 条结论和 219 次引用，引用整合率 100%；两轮对抗审稿没有遗留 blocker 或 major 问题，随后按材料专家的 8 条意见修订为 23 页正式报告。此外，团队把 NeurIPS 2026 投稿工作 RECIPE 的两阶段无机前驱体预测模型接入系统，随包提交模型 checkpoint、最小加载与预测代码和必备原料库；模型在 2,558 条留出测试反应上的 Combo@1、Combo@20 和 Combo MRR 分别为 71.81、89.21 和 77.48，并通过 CPU dry run 确认可加载、可预测。</w:t>
      </w:r>
    </w:p>
    <w:p>
      <w:pPr>
        <w:pStyle w:val="3"/>
        <w:keepNext/>
        <w:keepLines/>
      </w:pPr>
      <w:r>
        <w:t>二、科学问题理解</w:t>
      </w:r>
    </w:p>
    <w:p>
      <w:pPr>
        <w:pStyle w:val="4"/>
        <w:keepNext/>
        <w:keepLines/>
      </w:pPr>
      <w:r>
        <w:t>2.1 科学问题与研究对象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无机功能材料的合成知识分散在大量论文的实验部分。原料与配比、温度—时间程序、气氛、坩埚与助熔剂、冷却方式和表征手段往往以自然语言零散记录，只有在实验语境一致时才能相互比较。面对新报道或仅有单篇报道的化合物，研究者需要判断：现有证据能把合成条件限定到什么程度，哪些条件可以从结构近邻迁移，哪些类比并不成立，以及下一步哪些实验最值得开展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正式案例选择 2024 年首次报道的非中心对称硅酸盐 Ba5Y12Zn[O(SiO4)]8（下称 BYZSO）。公开文献中只有一篇直接合成报道，且缺少可独立复现的投料比、温程和冷却程序，属于“直接证据少、近邻证据多”的情形。Ba–Y–Si–O 四方谱系（如 Ba5Y13[SiO4]8O8.5、BaxY26Si16O71+x）、Ba–Zn–Si–O 结构端点（BaZnSiO4、Ba2ZnSi2O7、BaZnSi3O8）和 Y–Si–O 多型，分别在助熔生长、固相成相和高温结构稳定性方面提供参照。初赛案例 LLZO 石榴石固态电解质则代表另一类问题：文献很多，但低温致密化、两步烧结、冷烧结和超快烧结之间缺少跨掺杂体系的统一工艺图景。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这类问题的难点有三处。关键词检索容易混入综述、参考文献列表和跨体系讨论；“未检出”不等于“未研究”，别名和语料覆盖都可能造成假空白；温度、气氛、致密度和电导率等数值只有在实验语境一致时才可比较，误读一个升温节点或淬火温度就会得出虚假的规律或冲突。</w:t>
      </w:r>
    </w:p>
    <w:p>
      <w:pPr>
        <w:pStyle w:val="4"/>
        <w:keepNext/>
        <w:keepLines/>
      </w:pPr>
      <w:r>
        <w:t>2.2 科学意义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对 BYZSO 这类新化合物，本项目不直接给出单一“配方”，而是按证据来源划定合成条件的可迁移范围：哪些字段有直接证据，哪些条件只能参考近邻体系，哪些类比不能成立。在此基础上，系统围绕局部相图、Zn–Y–O 计量耦合、固相成相与高温溶液长晶并行，以及 Mg/​Co 类比，提出四类可检验的实验方向，并给出前驱体和工艺建议。前驱体来自预测模型，一律标注为“模型候选，待实验验证”。对 LLZO，重点从“寻找新掺杂”转向“建立可验证的工艺窗口”，其 Top-1 前驱体路线同时得到模型和文献支持。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本项目的产出也不止于一篇形式完整的综述：检索范围、原文证据、否决原因和验证方案都被保留下来。每条结论可追溯到引用键、DOI、核验记录以及可获取的原文段落；每张图保留可编辑源文件；每个流程判定都有账本记录。研究者因此能区分值得实验的问题、语料造成的假空白和条件不可比造成的假冲突。</w:t>
      </w:r>
    </w:p>
    <w:p>
      <w:pPr>
        <w:pStyle w:val="3"/>
        <w:keepNext/>
        <w:keepLines/>
      </w:pPr>
      <w:r>
        <w:t>三、技术方案与预期方法路线</w:t>
      </w:r>
    </w:p>
    <w:p>
      <w:pPr>
        <w:pStyle w:val="4"/>
        <w:keepNext/>
        <w:keepLines/>
      </w:pPr>
      <w:r>
        <w:t>3.1 技术方案</w:t>
      </w:r>
    </w:p>
    <w:p>
      <w:pPr>
        <w:spacing w:before="120" w:after="40"/>
        <w:keepNext/>
        <w:jc w:val="center"/>
      </w:pPr>
      <w:r>
        <w:drawing>
          <wp:inline distT="0" distB="0" distL="0" distR="0">
            <wp:extent cx="5770726" cy="3213600"/>
            <wp:docPr id="101" name="Figure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e10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70726" cy="3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图 1　GoAI Research 流水线：发现阶段完成多源检索与引用核验；生产阶段并行生成分类法、图纸、实验构想和正文；质量回环通过对抗审稿、账本闸门与返工路由收敛。图件由 figspec 渲染器同源输出 SVG 与 draw.io。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系统采用认知层、确定性工具层和控制层相互分离的设计。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认知层包含 9 个以 Markdown 描述的智能体技能。goai-orchestrator 读取账本并按阶段分派任务；goai-lit-search 执行 arXiv、OpenAlex、Crossref、Semantic Scholar 和 DBLP 五源检索、引文滚雪球与本地全文检索，并生成覆盖率报告；goai-style-bank 从 30 篇经典综述中归纳写作和制图规范；goai-ref-guard 对引用的一手元数据逐字段复核；goai-survey-writer 依次完成分类法、写作蓝图和分节 LaTeX，只使用已核验的引用键，并要求近邻体系、既有实验结论和具体合成建议分别写清；goai-figure-studio 与 goai-figure-editable 负责可编辑矢量图；goai-idea-forge 根据覆盖缺口、矛盾信号和组合空位提出方向，并调用逆合成工具；goai-reviewer 以独立上下文从领域、方法和编辑三个视角审稿，输出可回流到责任阶段的结构化问题。上述技能构成提交包中的提示词全集。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确定性工具层包含 4 个 MCP 服务，共 25 个工具。goai-litsearch 负责在线检索、下载、入库、BibTeX 导出、覆盖率统计和本地全文查询；goai-refcheck 通过存在性、元数据和作者顺序三项检查核验文献；goai-figure 负责 figspec 校验、排版检查、SVG 与 mxGraph 双渲染及 SVG 到 draw.io 的转换；goai-retro 提供两阶段无机前驱体预测和实验方案生成。各工具均可离线测试，每次调用都写入 tool_​calls.jsonl。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控制层以 ledger.json 为账本。范围确认、文献覆盖、风格库、引用完整性、分类法、图纸、稿件、想法审稿和终审九道闸门均由 loopctl 读写。只有全部闸门落账、无 FAIL、无未关闭的 blocker 或 major，且审稿 PASS 指向实际存在的审稿记录时，check-done 才返回 0。审稿人与执行者职责分离；同一问题连续三轮未收敛时转人工处理。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逆合成部分接入团队投稿 NeurIPS 2026 的 RECIPE（Reranking Exact Candidate Inorganic Precursor Entries）。该方法把单步无机逆合成表述为变长前驱体集合的排序问题。第一阶段用 formula-token Transformer 对目标式与 798 种前驱体打分，得到 Top-30 高召回候选；经过与标签无关的化学兼容性过滤后，候选池限制为 15 种，枚举 2—5 元组合，典型情况下得到 4,928 个集合。第二阶段把目标条件化的集合 token 与 374 维集合描述子结合，描述元素覆盖、多余元素、共现和计量相容性，用 listwise 目标、强负样本间隔和元素覆盖辅助损失完成重排。工具返回 Top-K 完整集合、两阶段分数、候选池内概率和 checkpoint SHA-256。这些结果只能以“模型候选，待实验验证”（chemical_​route_​verified=false）的身份进入正文，随后还要补充文献证据并接受人工复核。</w:t>
      </w:r>
    </w:p>
    <w:p>
      <w:pPr>
        <w:pStyle w:val="4"/>
        <w:keepNext/>
        <w:keepLines/>
      </w:pPr>
      <w:r>
        <w:t>3.2 方法路线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正式运行的人工输入只有一行：“调研 Ba5Y12Zn[O(SiO4)]8 及其结构相近化合物的合成条件”。顶层编排器通过 codex exec --json 无人值守启动，按账本状态依次推进以下步骤。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1. 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范围与对象核验：先把输入结构式作为待核对记号，检索规范化学式、空间群和原始报道；随后确定调研边界，报告篇幅为中文 8—12 页，“结构相近”仅按可验证的同构、同型或拓扑关系判断。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2. 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检索与风格学习：围绕 8 个互不重叠的子主题开展五源检索、本地全文检索和引文滚雪球，共得到 63 条候选；同时建立写作风格库。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3. 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引用核验：52 条文献接受存在性、元数据和作者顺序检查，其中 5 条因作者名规范化问题被判为 MISMATCH。连续三轮未收敛后，流程按规则转入人工处理，删除不影响主体结论的背景文献，最终 51 条全部 PASS。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4. 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分类法与贡献确认：把内容组织为“身份谱系与证据分级”“路线—变量—验证矩阵”和“失败边界与条件迁移”三条主线。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5. 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图纸、写作与实验构想并行：3 张图先形成视觉参照，再按 figspec 重建并输出 SVG 和 draw.io；11 个章节逐节写作，每条结论绑定引用键；实验构想阶段分别对 Zn、Mg 和 Co 三个目标调用 predict_​precursor_​routes。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6. 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两轮对抗审稿：首轮发现 I5—I11 共 7 项问题，分别退回责任阶段修改；第二轮未检出 blocker、major 或 minor 问题。review_​pass 回执写入账本后，check-done 返回 0，得到 20 页 PDF。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7. 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专家意见修订：团队按材料专家的 8 条意见完成三轮修改，包括改用规范论文语言、在引言中突出研究目标、单列同类体系、汇总既有实验结论、把研究方向落实到工艺和前驱体、重绘学术图件、补充行文路线图，以及仅在助熔或慢冷与单晶终点同时出现时把 Pt/​Au 坩埚视为晶体生长证据。随后新增 academic_​language_​guard 术语检查，形成 23 页正式稿。</w:t>
      </w:r>
    </w:p>
    <w:p>
      <w:pPr>
        <w:pStyle w:val="4"/>
        <w:keepNext/>
        <w:keepLines/>
      </w:pPr>
      <w:r>
        <w:t>3.3 数据来源、依赖工具与运行流程</w:t>
      </w:r>
    </w:p>
    <w:p>
      <w:pPr>
        <w:spacing w:before="120" w:after="60"/>
        <w:keepNext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表 1　数据来源、模型与依赖及其公开情况</w:t>
      </w:r>
    </w:p>
    <w:tbl>
      <w:tblPr>
        <w:tblW w:w="9878" w:type="dxa"/>
        <w:jc w:val="center"/>
        <w:tblBorders>
          <w:top w:val="single" w:sz="12" w:color="1F1F1F"/>
          <w:left w:val="nil"/>
          <w:right w:val="nil"/>
          <w:bottom w:val="single" w:sz="12" w:color="1F1F1F"/>
          <w:insideH w:val="single" w:sz="2" w:color="D0D0D0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538"/>
        <w:gridCol w:w="5116"/>
        <w:gridCol w:w="3224"/>
      </w:tblGrid>
      <w:tr>
        <w:trPr>
          <w:cantSplit/>
          <w:tblHeader/>
        </w:trPr>
        <w:tc>
          <w:tcPr>
            <w:tcW w:w="1538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类别</w:t>
            </w:r>
          </w:p>
        </w:tc>
        <w:tc>
          <w:tcPr>
            <w:tcW w:w="5116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内容</w:t>
            </w:r>
          </w:p>
        </w:tc>
        <w:tc>
          <w:tcPr>
            <w:tcW w:w="3224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公开情况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文献元数据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Crossref、OpenAlex、arXiv、Semantic Scholar、DBLP（无需密钥的公开 API）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公开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全文库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团队自建 Markdown 全文库（约 3,760 万篇，1990 年代—2021 年，Parquet 分片及 DOI 索引）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不公开；复现包收录正式报告 51 篇被引文献中的 21 篇全文，其余 30 篇提供 DOI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预测模型数据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Retrieval-Retro 年份切分基准（源自 Ceder 文本挖掘合成数据集）：24,034 / 1,842 / 2,558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原始基准已公开；仓库包含测试集和两个 checkpoint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LLM 与运行框架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Codex CLI 0.146.1，模型 gpt-5.6-sol，推理强度 xhigh；构建与运行轨迹分别提交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见 SUBMISSION.md 第 2 节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依赖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Python ≥ 3.10、FastMCP、httpx、DuckDB、PyTorch 2.7、pymatgen；TeX（xelatex + ctex 或 tectonic）；draw.io CLI 可选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pyproject.toml + uv.lock</w:t>
            </w:r>
          </w:p>
        </w:tc>
      </w:tr>
    </w:tbl>
    <w:p>
      <w:pPr>
        <w:spacing w:before="0" w:after="120"/>
      </w:pP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运行流程为：bash install.sh --retro 安装；bash scripts/​smoke_​test.sh --with-retro 做无网络、无 LLM 的冒烟测试（1—2 分钟）；bash scripts/​reproduce_​core.sh [--topic …] 重跑完整流程（需 Codex 登录、网络和 TeX）。</w:t>
      </w:r>
    </w:p>
    <w:p>
      <w:pPr>
        <w:pStyle w:val="3"/>
        <w:keepNext/>
        <w:keepLines/>
      </w:pPr>
      <w:r>
        <w:t>四、实验结果</w:t>
      </w:r>
    </w:p>
    <w:p>
      <w:pPr>
        <w:pStyle w:val="4"/>
        <w:keepNext/>
        <w:keepLines/>
      </w:pPr>
      <w:r>
        <w:t>4.1 实验设置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评测由两个案例和一个模型基准组成。正式案例 A 为 BYZSO 主题冷启动，2026 年 8 月 31 日至 9 月 1 日完成，9 月 2 日按专家意见修订；顶层编排器共调用 5 次（首轮运行及 4 个人工停点续跑），包含 29 批 40 个子任务，约 7,084 万输入 token 和 56.7 万输出 token，记录 223 次工具函数调用、205 次内置网页搜索，以及 134 条服务端审计的全文库与预测调用。案例 B 为 2026 年 8 月 29 日完成的 LLZO 烧结致密化诊断轮，包含 21 个任务和 49 次 MCP 调用。模型基准采用 RECIPE 在 Retro 留出测试集上的结果，共 2,558 条 2018 年后的反应；评测使用单一种子 20260504，参数为 top_​m=30、pool=15、集合大小 2—5，并按全部测试样本计算。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复赛期间共记录 8 组运行，其中包括一次停在文献阶段的失败冷启动，以及 9 月 3 日用同一系统对三个新主题各做一次的冷启动（LLZO 石榴石电解质、BaZn2Si2O7 近邻体系、Ba–Y–Zn–Si–O 相图导向合成，作为补充案例随包提交）。正式结果取最后一个同时通过 bib_​guard、tex_​guard、academic_​language_​guard 和 review_​pass 的版本，不在多次运行结果中择优；完整清单见 SUBMISSION.md 第 3 节。</w:t>
      </w:r>
    </w:p>
    <w:p>
      <w:pPr>
        <w:pStyle w:val="4"/>
        <w:keepNext/>
        <w:keepLines/>
      </w:pPr>
      <w:r>
        <w:t>4.2 案例 A：Ba5Y12Zn[O(SiO4)]8 合成条件调研</w:t>
      </w:r>
    </w:p>
    <w:p>
      <w:pPr>
        <w:spacing w:before="120" w:after="40"/>
        <w:keepNext/>
        <w:jc w:val="center"/>
      </w:pPr>
      <w:r>
        <w:drawing>
          <wp:inline distT="0" distB="0" distL="0" distR="0">
            <wp:extent cx="5958902" cy="3351882"/>
            <wp:docPr id="102" name="Figure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e10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58902" cy="335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图 2　正式报告的研究路线：从 Ba–Y–Si–O 近邻的组成空间和局部候选区出发，沿固相成相与高温溶液长晶两条路径获得候选晶相，再以粉末衍射、单晶结构和实际化学计量的互补表征结果反馈修正。</w:t>
      </w:r>
    </w:p>
    <w:p>
      <w:pPr>
        <w:spacing w:before="120" w:after="60"/>
        <w:keepNext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表 2　案例 A 的产出与核验指标</w:t>
      </w:r>
    </w:p>
    <w:tbl>
      <w:tblPr>
        <w:tblW w:w="9878" w:type="dxa"/>
        <w:jc w:val="center"/>
        <w:tblBorders>
          <w:top w:val="single" w:sz="12" w:color="1F1F1F"/>
          <w:left w:val="nil"/>
          <w:right w:val="nil"/>
          <w:bottom w:val="single" w:sz="12" w:color="1F1F1F"/>
          <w:insideH w:val="single" w:sz="2" w:color="D0D0D0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120"/>
        <w:gridCol w:w="8758"/>
      </w:tblGrid>
      <w:tr>
        <w:trPr>
          <w:cantSplit/>
          <w:tblHeader/>
        </w:trPr>
        <w:tc>
          <w:tcPr>
            <w:tcW w:w="1120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</w:t>
            </w:r>
          </w:p>
        </w:tc>
        <w:tc>
          <w:tcPr>
            <w:tcW w:w="8758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 条候选 → 51 条入库，三项核验 51/​51 PASS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正文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23 页、11 章；100 条含引用结论、219 次引用、整合率 100%、引用密度 41.3 次/千词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证据链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54 条结论可从包内全文回读；36 条合成条件结论带原文页码或章节定位，并逐字段区分“可支持”与“不可支持”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图纸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3 张，figspec 同源输出 SVG 与 draw.io，均通过排版检查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审稿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两轮，最终 0 blocker / 0 major / 0 minor（同系列模型冷启动复审，provisional=true）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前驱体预测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Zn 目标 Top-1：ZnO + Y2O3 + SiO2 + BaCO3（候选池内概率 0.594）；Mg 类比 Top-1：MgO + Y2O3 + BaCO3 + SiO2（0.522）；Co 类比 Top-1：Co3O4 + …（0.298，前三名反映 Co 氧化态的不确定性）</w:t>
            </w:r>
          </w:p>
        </w:tc>
      </w:tr>
    </w:tbl>
    <w:p>
      <w:pPr>
        <w:spacing w:before="0" w:after="120"/>
      </w:pP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证据核查得到以下结论。目标相的公开证据只能确认“开放体系高温溶液法和单晶 X 射线衍射鉴定”，不足以支持一套经过验证的复现配方。无 Zn 的 Ba–Y–Si–O 四方谱系提供了三类可比路线：MoO3 助熔生长（Pt 坩埚、1150 °C、2 K/​h 慢冷）、Ba:Y:Si = x:26:16 固相陶瓷（1300 °C 煅烧、1600 °C 烧成）和 5:13:8 粉体相场筛查（1273 K 预烧、1573 K 三次退火）。这些数值不能直接迁移到目标相。现有结果还表明，组成坐标比单一最高温度更能解释成相差异；获得单晶不等于建立批量相纯窗口，因此局部相图是连接复现与新发现的关键实验。据此，报告提出四个研究方向，并分别给出前驱体和工艺建议。</w:t>
      </w:r>
    </w:p>
    <w:p>
      <w:pPr>
        <w:pStyle w:val="4"/>
        <w:keepNext/>
        <w:keepLines/>
      </w:pPr>
      <w:r>
        <w:t>4.3 案例 B：LLZO 烧结致密化诊断轮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LLZO 诊断轮覆盖六个子主题，共核验 46 篇文献；修正 3 条元数据后，引用检查 46/​46 PASS，生成 10 页 A4 综述。两阶段模型给出的 Top-1 前驱体 ZrO2、La2O3 和 Li2CO3 与文献一致；Top-2 至 Top-5 中的 LiHO、La(HO)3 等命名存在疑点，因此统一标注为“模型输出已验证，化学路线未验证”。首轮审稿发现 4 个 major 问题，其中 2 个已修复并关闭。该轮还暴露出 11 类集成问题：MCP 审批配置、工作目录错误、并行写库竞争、exit=0 假成功、旧产物假成功、上下文膨胀、上游限流、图片排版检查假绿、retro 字段不兼容、测试契约漂移和同模型审稿独立性不足；相关修复记录见 docs/​FAILURE_​MODE_​FIXES.md。对 Li6PS5Cl、Li3YCl6 和 LATP 的补充分析中，三者的 Top-1 模型路线均通过文献复核。</w:t>
      </w:r>
    </w:p>
    <w:p>
      <w:pPr>
        <w:pStyle w:val="4"/>
        <w:keepNext/>
        <w:keepLines/>
      </w:pPr>
      <w:r>
        <w:t>4.4 前驱体预测基准（RECIPE 接入部分）</w:t>
      </w:r>
    </w:p>
    <w:p>
      <w:pPr>
        <w:spacing w:before="120" w:after="60"/>
        <w:keepNext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表 3　RECIPE 两阶段模型在 Retro 留出测试集上的结果（2,558 条，按全部样本计算）</w:t>
      </w:r>
    </w:p>
    <w:tbl>
      <w:tblPr>
        <w:tblW w:w="9878" w:type="dxa"/>
        <w:jc w:val="center"/>
        <w:tblBorders>
          <w:top w:val="single" w:sz="12" w:color="1F1F1F"/>
          <w:left w:val="nil"/>
          <w:right w:val="nil"/>
          <w:bottom w:val="single" w:sz="12" w:color="1F1F1F"/>
          <w:insideH w:val="single" w:sz="2" w:color="D0D0D0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4049"/>
        <w:gridCol w:w="2079"/>
        <w:gridCol w:w="1528"/>
        <w:gridCol w:w="2222"/>
      </w:tblGrid>
      <w:tr>
        <w:trPr>
          <w:cantSplit/>
          <w:tblHeader/>
        </w:trPr>
        <w:tc>
          <w:tcPr>
            <w:tcW w:w="4049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</w:t>
            </w:r>
          </w:p>
        </w:tc>
        <w:tc>
          <w:tcPr>
            <w:tcW w:w="2079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checkpoint 评测汇总</w:t>
            </w:r>
          </w:p>
        </w:tc>
        <w:tc>
          <w:tcPr>
            <w:tcW w:w="1528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论文三种子均值</w:t>
            </w:r>
          </w:p>
        </w:tc>
        <w:tc>
          <w:tcPr>
            <w:tcW w:w="2222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Retrieval-Retro 基线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第一阶段 Top-20 前驱体覆盖率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95.78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95.93 ± 0.18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92.96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Combo@1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71.81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71.70 ± 0.10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60.40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Combo@5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84.71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84.52 ± 1.48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66.22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Combo@20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89.21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89.82 ± 1.74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69.00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 MRR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77.48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77.43 ± 0.69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63.29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相同枚举 product 对照 Combo@1 / MRR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—</w:t>
            </w:r>
          </w:p>
        </w:tc>
      </w:tr>
    </w:tbl>
    <w:p>
      <w:pPr>
        <w:spacing w:before="0" w:after="120"/>
      </w:pP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逆合成部分采用最小可复现交付：两个 checkpoint、最小加载与预测代码（server/​core/​inorganic_​retro.py 和 vendor/​two_​stage_​retro/）及必备原料库，未另附评测脚本。表中结果来自随 checkpoint 提交的源包评测汇总，使用单一种子 20260504，均落在论文三种子结果区间内。tools/​retro_​dry_​run.py 与 MCP 工具使用同一推理路径，可在 CPU 上完成 checkpoint 核验、化学先验构建和预测；干净环境实测 Li7La3Zr2O12 的 Top-1 路线为 ZrO2、La2O3 和 Li2CO3，与正式运行记录一致。对照行说明，性能增益主要来自学习到的集合级排序，而非候选枚举或过滤本身。在论文收集的 20 个分布外目标上，RECIPE 的 Combo@1 和 Combo@20 分别为 55.00 和 85.00，Retrieval-Retro 的 Combo@1 为 40.00。这与案例中的观察一致：Top-1 通常较可靠，Top-2 以后仍需文献和人工复核。</w:t>
      </w:r>
    </w:p>
    <w:p>
      <w:pPr>
        <w:pStyle w:val="4"/>
        <w:keepNext/>
        <w:keepLines/>
      </w:pPr>
      <w:r>
        <w:t>4.5 系统级指标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65 项离线测试全部通过，覆盖 BibTeX 往返、作者比对、figspec 校验与排版检查、SVG 与 draw.io 互转、本地全文检索与受限读取、账本 12 个并发写入者零丢失、check-done 语义与回执校验、bib/​tex/​术语闸门，以及提交轨迹脱敏与 JSONL 规范化。真实五源检索、draw.io 导出和完整迷你综述回环等实测记录保存于 docs/​live-tests/。</w:t>
      </w:r>
    </w:p>
    <w:p>
      <w:pPr>
        <w:pStyle w:val="4"/>
        <w:keepNext/>
        <w:keepLines/>
      </w:pPr>
      <w:r>
        <w:t>4.6 科学意义解释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BYZSO 与 LLZO 分别代表“文献稀缺”和“文献丰富但条件难以直接比较”两种情形。在两个案例中，证据约束与机械闸门都使调研结论和实验建议能够逐条核对，而不是停留在无法追溯的综述文本。对材料研究者，这意味着文献梳理的时间被压缩到一次运行，同时每条结论都能回到 DOI、核验记录和原文证据接受检查。</w:t>
      </w:r>
    </w:p>
    <w:p>
      <w:pPr>
        <w:pStyle w:val="3"/>
        <w:keepNext/>
        <w:keepLines/>
      </w:pPr>
      <w:r>
        <w:t>五、复现与开放计划</w:t>
      </w:r>
    </w:p>
    <w:p>
      <w:pPr>
        <w:pStyle w:val="4"/>
        <w:keepNext/>
        <w:keepLines/>
      </w:pPr>
      <w:r>
        <w:t>5.1 复现方式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复现分三个层次。bash install.sh --retro 完成安装；bash scripts/​smoke_​test.sh --with-retro 在干净环境、无网络和无 LLM 条件下，于 1—2 分钟内检查环境、4 个 MCP 服务、全部离线测试、公开知识库、结论—证据链和图纸渲染；tools/​retro_​dry_​run.py 在 CPU 上加载模型并完成预测；bash scripts/​reproduce_​core.sh 用相同主题、模型和推理强度重跑完整流程。由于 LLM 输出不能逐字复现，核心判据设为：账本 check-done 返回 0，CITATION_​AUDIT 全部 PASS，bib_​guard 引用整合率不低于 90%，并生成 PDF、BibTeX、图源和逐子任务 JSONL 轨迹；脚本只有在这些条件全部满足时才返回 0，并写出 REPRODUCTION_​RECEIPT.json。主要结论、图件和指标均可沿“代码版本—配置—数据—日志或轨迹—结果文件”回溯，完整示例见 SUBMISSION.md 第 6 节。</w:t>
      </w:r>
    </w:p>
    <w:p>
      <w:pPr>
        <w:pStyle w:val="4"/>
        <w:keepNext/>
        <w:keepLines/>
      </w:pPr>
      <w:r>
        <w:t>5.2 开源计划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项目仓库 </w:t>
      </w:r>
      <w:hyperlink r:id="rIdHl1" w:history="1">
        <w:r>
          <w:rPr>
            <w:rFonts w:ascii="Calibri" w:hAnsi="Calibri" w:eastAsia="微软雅黑"/>
            <w:color w:val="1F4D78"/>
            <w:u w:val="single"/>
            <w:sz w:val="21"/>
          </w:rPr>
          <w:t xml:space="preserve">https://github.com/​asimfish/​goai_​research</w:t>
        </w:r>
      </w:hyperlink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以 MIT 许可证开放源代码、提示词、配置模板、预测模型推理代码与 checkpoint，以及正式运行的输入、账本、审计日志、子任务轨迹、构建阶段智能体轨迹、证据包和指标。截止前的提交版本固定为标签 goai-final-2026-09-03；截止后按官方六项材料整理目录并重新打包的版本为 goai-final-2026-09-03-r2，两者的正式结果文件相同。可单独复用的模块包括任意主题综述回环、引用零信任核验、figspec 可编辑图纸流程和无机前驱体预测 MCP 工具。</w:t>
      </w:r>
    </w:p>
    <w:p>
      <w:pPr>
        <w:pStyle w:val="4"/>
        <w:keepNext/>
        <w:keepLines/>
      </w:pPr>
      <w:r>
        <w:t>5.3 依赖、数据来源与合规披露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唯一闭源依赖为通过 Codex CLI 调用的 OpenAI 模型 gpt-5.6-sol（账号订阅），其不可逐字复现性已在 5.1 节说明。开源依赖包括 FastMCP、httpx、DuckDB、PyTorch、pymatgen、ripgrep 和可选的 draw.io。外部数据来自 Crossref、OpenAlex、arXiv、Semantic Scholar 和 DBLP 元数据，相关服务条款允许非商业检索；Retrieval-Retro 基准数据已随原工作公开。私有全文库不公开，复现包仅收录 51 篇被引文献中的 21 篇全文，并注明“仅供评审复现，出版社保留版权，不得二次分发”；这会限制本地全文检索范围，但不影响在线检索和元数据核验。提交包不含密钥或认证信息。</w:t>
      </w:r>
    </w:p>
    <w:p>
      <w:pPr>
        <w:pStyle w:val="3"/>
        <w:keepNext/>
        <w:keepLines/>
      </w:pPr>
      <w:r>
        <w:t>六、团队介绍</w:t>
      </w:r>
    </w:p>
    <w:p>
      <w:pPr>
        <w:pStyle w:val="4"/>
        <w:keepNext/>
        <w:keepLines/>
      </w:pPr>
      <w:r>
        <w:t>6.1 成员背景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队名科学无极，参赛编号第13队（TeamNo.13），方向材料科学（MaterialsScience）。团队由三名博士成员组成：高京，上海交通大学；吕丁阳，中国科学院大学；李雨峰，上海交通大学。成员专长覆盖材料文献理解、科学问题识别、科研智能体设计、模型训练和逆合成评价。</w:t>
      </w:r>
    </w:p>
    <w:p>
      <w:pPr>
        <w:pStyle w:val="4"/>
        <w:keepNext/>
        <w:keepLines/>
      </w:pPr>
      <w:r>
        <w:t>6.2 团队分工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高京负责总体协调、科学问题定义、LLZO 与 BYZSO 案例的材料学边界审查、私有全文库与精简知识库维护及复赛报告统稿；吕丁阳负责智能体架构、任务编排与回环协议、证据校准和引用核验，以及构建与运行轨迹、复现脚本的整理；李雨峰负责 RECIPE 两阶段逆合成模型的训练、评测和 MCP 接入，以及 figspec 图纸流程、排版检查和仓库工程质量。三名成员共同完成人工终审、合成路线合理性复核和最终提交检查。</w:t>
      </w:r>
    </w:p>
    <w:p>
      <w:pPr>
        <w:pStyle w:val="4"/>
        <w:keepNext/>
        <w:keepLines/>
      </w:pPr>
      <w:r>
        <w:t>6.3 团队成果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团队已有 SafeLab ICML 2026 论文成果，曾在 AI4Science 黑客松上海站和北京站分别获得三等奖；RECIPE 无机逆合成工作已投稿 NeurIPS 2026。</w:t>
      </w:r>
    </w:p>
    <w:sectPr>
      <w:footerReference r:id="rId5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E1932">
    <w:pPr>
      <w:pStyle w:val="24"/>
      <w:jc w:val="right"/>
    </w:pPr>
    <w:r>
      <w:rPr>
        <w:rFonts w:hint="eastAsia" w:ascii="Calibri" w:hAnsi="Calibri"/>
        <w:b w:val="0"/>
        <w:i w:val="0"/>
        <w:color w:val="5A6573"/>
        <w:sz w:val="17"/>
        <w:lang w:eastAsia="zh-CN"/>
      </w:rPr>
      <w:t>GOAI AI for Research赛道</w:t>
    </w:r>
    <w:r>
      <w:rPr>
        <w:rFonts w:ascii="Calibri" w:hAnsi="Calibri" w:eastAsia="微软雅黑"/>
        <w:b w:val="0"/>
        <w:i w:val="0"/>
        <w:color w:val="5A6573"/>
        <w:sz w:val="17"/>
      </w:rPr>
      <w:t xml:space="preserve"> | 算法赛复赛报告 · 科学无极 · SAGE-Mat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Hl1" Type="http://schemas.openxmlformats.org/officeDocument/2006/relationships/hyperlink" Target="https://github.com/&#8203;asimfish/&#8203;goai_&#8203;resear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542</Words>
  <Characters>580</Characters>
  <Lines>0</Lines>
  <Paragraphs>0</Paragraphs>
  <TotalTime>0</TotalTime>
  <ScaleCrop>false</ScaleCrop>
  <LinksUpToDate>false</LinksUpToDate>
  <CharactersWithSpaces>597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cindy</cp:lastModifiedBy>
  <dcterms:modified xsi:type="dcterms:W3CDTF">2026-08-01T20:06:35Z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2052-12.1.22218.22218</vt:lpwstr>
  </property>
  <property fmtid="{D5CDD505-2E9C-101B-9397-08002B2CF9AE}" pid="4" name="ICV">
    <vt:lpwstr>CDD5274CC1D44C419F88A10DFA15A0C6_12</vt:lpwstr>
  </property>
</Properties>
</file>