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Synthetic Example of Evidence-Bounded Result Writing</w:t>
      </w:r>
    </w:p>
    <w:p>
      <w:pPr>
        <w:pStyle w:val="Author"/>
      </w:pPr>
      <w:r>
        <w:t xml:space="preserve">Super Writer Tutorial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document uses hand-authored synthetic teaching data. It is not a research</w:t>
      </w:r>
      <w:r>
        <w:t xml:space="preserve"> </w:t>
      </w:r>
      <w:r>
        <w:t xml:space="preserve">finding and makes no claim of statistical significance or benchmark leadership.</w:t>
      </w:r>
    </w:p>
    <w:bookmarkEnd w:id="9"/>
    <w:bookmarkStart w:id="10" w:name="protocol"/>
    <w:p>
      <w:pPr>
        <w:pStyle w:val="Heading1"/>
      </w:pPr>
      <w:r>
        <w:t xml:space="preserve">Protocol</w:t>
      </w:r>
    </w:p>
    <w:p>
      <w:pPr>
        <w:pStyle w:val="FirstParagraph"/>
      </w:pPr>
      <w:r>
        <w:t xml:space="preserve">Each method is assigned 100 synthetic trials under clean and perturbed input.</w:t>
      </w:r>
      <w:r>
        <w:t xml:space="preserve"> </w:t>
      </w:r>
      <w:r>
        <w:t xml:space="preserve">Success is reported as a count divided by total trials. Per-trial outcomes,</w:t>
      </w:r>
      <w:r>
        <w:t xml:space="preserve"> </w:t>
      </w:r>
      <w:r>
        <w:t xml:space="preserve">uncertainty estimates, and runtime measurements are unavailable.</w:t>
      </w:r>
    </w:p>
    <w:bookmarkEnd w:id="10"/>
    <w:bookmarkStart w:id="12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Table </w:t>
      </w:r>
      <w:hyperlink w:anchor="tab:syntheti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records all observations in the example. The candidate</w:t>
      </w:r>
      <w:r>
        <w:t xml:space="preserve"> </w:t>
      </w:r>
      <w:r>
        <w:t xml:space="preserve">has descriptive success rates of 84% and 69%, compared with 82% and 61%</w:t>
      </w:r>
      <w:r>
        <w:t xml:space="preserve"> </w:t>
      </w:r>
      <w:r>
        <w:t xml:space="preserve">for the baseline. These differences are 2 and 8 percentage points.</w:t>
      </w:r>
    </w:p>
    <w:bookmarkStart w:id="11" w:name="tab:synthetic"/>
    <w:p>
      <w:pPr>
        <w:pStyle w:val="TableCaption"/>
      </w:pPr>
      <w:r>
        <w:t xml:space="preserve">Synthetic teaching counts, not real experimental results.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Synthetic teaching counts, not real experimental results.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82/100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Perturbed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61/100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69/100</w:t>
            </w:r>
          </w:p>
        </w:tc>
      </w:tr>
    </w:tbl>
    <w:bookmarkEnd w:id="11"/>
    <w:bookmarkEnd w:id="12"/>
    <w:bookmarkStart w:id="13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The example supports only a descriptive comparison of two synthetic conditions.</w:t>
      </w:r>
      <w:r>
        <w:t xml:space="preserve"> </w:t>
      </w:r>
      <w:r>
        <w:t xml:space="preserve">It does not establish significance or causal effects. Performance in other</w:t>
      </w:r>
      <w:r>
        <w:t xml:space="preserve"> </w:t>
      </w:r>
      <w:r>
        <w:t xml:space="preserve">conditions and possible costs remain unknown.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hAnsi="Times New Roman" w:eastAsia="Times New Roman" w:cs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hAnsi="Times New Roman" w:eastAsia="Times New Roman" w:cs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hAnsi="Times New Roman" w:eastAsia="Times New Roman" w:cs="Times New Roman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hAnsi="Times New Roman" w:eastAsia="Times New Roman" w:cs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  <w:rFonts w:ascii="Times New Roman" w:hAnsi="Times New Roman" w:eastAsia="Times New Roman" w:cs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hAnsi="Times New Roman" w:eastAsia="Times New Roman" w:cs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  <w:rFonts w:ascii="Times New Roman" w:hAnsi="Times New Roman" w:eastAsia="Times New Roman" w:cs="Times New Roman"/>
    </w:rPr>
  </w:style>
  <w:style w:type="character" w:customStyle="1" w:styleId="DataTypeTok">
    <w:name w:val="DataTypeTok"/>
    <w:basedOn w:val="VerbatimChar"/>
    <w:rPr>
      <w:color w:val="902000"/>
      <w:rFonts w:ascii="Times New Roman" w:hAnsi="Times New Roman" w:eastAsia="Times New Roman" w:cs="Times New Roman"/>
    </w:rPr>
  </w:style>
  <w:style w:type="character" w:customStyle="1" w:styleId="DecValTok">
    <w:name w:val="DecVal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BaseNTok">
    <w:name w:val="BaseN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FloatTok">
    <w:name w:val="Float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ConstantTok">
    <w:name w:val="ConstantTok"/>
    <w:basedOn w:val="VerbatimChar"/>
    <w:rPr>
      <w:color w:val="880000"/>
      <w:rFonts w:ascii="Times New Roman" w:hAnsi="Times New Roman" w:eastAsia="Times New Roman" w:cs="Times New Roman"/>
    </w:rPr>
  </w:style>
  <w:style w:type="character" w:customStyle="1" w:styleId="CharTok">
    <w:name w:val="Char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pecialCharTok">
    <w:name w:val="SpecialChar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tringTok">
    <w:name w:val="String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VerbatimStringTok">
    <w:name w:val="VerbatimString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pecialStringTok">
    <w:name w:val="SpecialStringTok"/>
    <w:basedOn w:val="VerbatimChar"/>
    <w:rPr>
      <w:color w:val="bb6688"/>
      <w:rFonts w:ascii="Times New Roman" w:hAnsi="Times New Roman" w:eastAsia="Times New Roman" w:cs="Times New Roman"/>
    </w:rPr>
  </w:style>
  <w:style w:type="character" w:customStyle="1" w:styleId="ImportTok">
    <w:name w:val="ImportTok"/>
    <w:basedOn w:val="VerbatimChar"/>
    <w:rPr>
      <w:b/>
      <w:color w:val="008000"/>
      <w:rFonts w:ascii="Times New Roman" w:hAnsi="Times New Roman" w:eastAsia="Times New Roman" w:cs="Times New Roman"/>
    </w:rPr>
  </w:style>
  <w:style w:type="character" w:customStyle="1" w:styleId="CommentTok">
    <w:name w:val="CommentTok"/>
    <w:basedOn w:val="VerbatimChar"/>
    <w:rPr>
      <w:i/>
      <w:color w:val="60a0b0"/>
      <w:rFonts w:ascii="Times New Roman" w:hAnsi="Times New Roman" w:eastAsia="Times New Roman" w:cs="Times New Roman"/>
    </w:rPr>
  </w:style>
  <w:style w:type="character" w:customStyle="1" w:styleId="DocumentationTok">
    <w:name w:val="DocumentationTok"/>
    <w:basedOn w:val="VerbatimChar"/>
    <w:rPr>
      <w:i/>
      <w:color w:val="ba2121"/>
      <w:rFonts w:ascii="Times New Roman" w:hAnsi="Times New Roman" w:eastAsia="Times New Roman" w:cs="Times New Roman"/>
    </w:rPr>
  </w:style>
  <w:style w:type="character" w:customStyle="1" w:styleId="AnnotationTok">
    <w:name w:val="Annotation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CommentVarTok">
    <w:name w:val="CommentVar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OtherTok">
    <w:name w:val="OtherTok"/>
    <w:basedOn w:val="VerbatimChar"/>
    <w:rPr>
      <w:color w:val="007020"/>
      <w:rFonts w:ascii="Times New Roman" w:hAnsi="Times New Roman" w:eastAsia="Times New Roman" w:cs="Times New Roman"/>
    </w:rPr>
  </w:style>
  <w:style w:type="character" w:customStyle="1" w:styleId="FunctionTok">
    <w:name w:val="FunctionTok"/>
    <w:basedOn w:val="VerbatimChar"/>
    <w:rPr>
      <w:color w:val="06287e"/>
      <w:rFonts w:ascii="Times New Roman" w:hAnsi="Times New Roman" w:eastAsia="Times New Roman" w:cs="Times New Roman"/>
    </w:rPr>
  </w:style>
  <w:style w:type="character" w:customStyle="1" w:styleId="VariableTok">
    <w:name w:val="VariableTok"/>
    <w:basedOn w:val="VerbatimChar"/>
    <w:rPr>
      <w:color w:val="19177c"/>
      <w:rFonts w:ascii="Times New Roman" w:hAnsi="Times New Roman" w:eastAsia="Times New Roman" w:cs="Times New Roman"/>
    </w:rPr>
  </w:style>
  <w:style w:type="character" w:customStyle="1" w:styleId="ControlFlowTok">
    <w:name w:val="ControlFlowTok"/>
    <w:basedOn w:val="VerbatimChar"/>
    <w:rPr>
      <w:b/>
      <w:color w:val="007020"/>
      <w:rFonts w:ascii="Times New Roman" w:hAnsi="Times New Roman" w:eastAsia="Times New Roman" w:cs="Times New Roman"/>
    </w:rPr>
  </w:style>
  <w:style w:type="character" w:customStyle="1" w:styleId="OperatorTok">
    <w:name w:val="OperatorTok"/>
    <w:basedOn w:val="VerbatimChar"/>
    <w:rPr>
      <w:color w:val="666666"/>
      <w:rFonts w:ascii="Times New Roman" w:hAnsi="Times New Roman" w:eastAsia="Times New Roman" w:cs="Times New Roman"/>
    </w:rPr>
  </w:style>
  <w:style w:type="character" w:customStyle="1" w:styleId="BuiltInTok">
    <w:name w:val="BuiltInTok"/>
    <w:basedOn w:val="VerbatimChar"/>
    <w:rPr>
      <w:color w:val="008000"/>
      <w:rFonts w:ascii="Times New Roman" w:hAnsi="Times New Roman" w:eastAsia="Times New Roman" w:cs="Times New Roman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</w:rPr>
  </w:style>
  <w:style w:type="character" w:customStyle="1" w:styleId="PreprocessorTok">
    <w:name w:val="PreprocessorTok"/>
    <w:basedOn w:val="VerbatimChar"/>
    <w:rPr>
      <w:color w:val="bc7a00"/>
      <w:rFonts w:ascii="Times New Roman" w:hAnsi="Times New Roman" w:eastAsia="Times New Roman" w:cs="Times New Roman"/>
    </w:rPr>
  </w:style>
  <w:style w:type="character" w:customStyle="1" w:styleId="AttributeTok">
    <w:name w:val="AttributeTok"/>
    <w:basedOn w:val="VerbatimChar"/>
    <w:rPr>
      <w:color w:val="7d9029"/>
      <w:rFonts w:ascii="Times New Roman" w:hAnsi="Times New Roman" w:eastAsia="Times New Roman" w:cs="Times New Roman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</w:rPr>
  </w:style>
  <w:style w:type="character" w:customStyle="1" w:styleId="InformationTok">
    <w:name w:val="Information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WarningTok">
    <w:name w:val="Warning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AlertTok">
    <w:name w:val="AlertTok"/>
    <w:basedOn w:val="VerbatimChar"/>
    <w:rPr>
      <w:b/>
      <w:color w:val="ff0000"/>
      <w:rFonts w:ascii="Times New Roman" w:hAnsi="Times New Roman" w:eastAsia="Times New Roman" w:cs="Times New Roman"/>
    </w:rPr>
  </w:style>
  <w:style w:type="character" w:customStyle="1" w:styleId="ErrorTok">
    <w:name w:val="ErrorTok"/>
    <w:basedOn w:val="VerbatimChar"/>
    <w:rPr>
      <w:b/>
      <w:color w:val="ff0000"/>
      <w:rFonts w:ascii="Times New Roman" w:hAnsi="Times New Roman" w:eastAsia="Times New Roman" w:cs="Times New Roman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Times New Roman"/>
        <a:cs typeface="Times New Roma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Synthetic Example of Evidence-Bounded Result Writing</dc:title>
  <dc:creator>Super Writer Tutorial</dc:creator>
  <cp:keywords/>
  <dcterms:created xsi:type="dcterms:W3CDTF">2026-09-05T13:02:49Z</dcterms:created>
  <dcterms:modified xsi:type="dcterms:W3CDTF">2026-09-05T13:02:49Z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