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Local Smoothing Does Not Establish Extrapolation: A Reproducible Toy Study</w:t>
      </w:r>
    </w:p>
    <w:p>
      <w:pPr>
        <w:pStyle w:val="Author"/>
      </w:pPr>
      <w:r>
        <w:t xml:space="preserve">Super Writer worked example</w:t>
      </w:r>
    </w:p>
    <w:p>
      <w:pPr>
        <w:pStyle w:val="Date"/>
      </w:pPr>
      <w:r>
        <w:t xml:space="preserve">September 2026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Better error on a familiar input range does not establish robustness outside</w:t>
      </w:r>
      <w:r>
        <w:t xml:space="preserve"> </w:t>
      </w:r>
      <w:r>
        <w:t xml:space="preserve">that range. We illustrate this distinction with an executable, synthetic</w:t>
      </w:r>
      <w:r>
        <w:t xml:space="preserve"> </w:t>
      </w:r>
      <w:r>
        <w:t xml:space="preserve">nearest-neighbor regression study. One-neighbor and five-neighbor predictors</w:t>
      </w:r>
      <w:r>
        <w:t xml:space="preserve"> </w:t>
      </w:r>
      <w:r>
        <w:t xml:space="preserve">are fitted to 40 noisy observations from a known one-dimensional function,</w:t>
      </w:r>
      <w:r>
        <w:t xml:space="preserve"> </w:t>
      </w:r>
      <w:r>
        <w:t xml:space="preserve">using five fixed training seeds. On an interior evaluation grid, mean squared</w:t>
      </w:r>
      <w:r>
        <w:t xml:space="preserve"> </w:t>
      </w:r>
      <w:r>
        <w:t xml:space="preserve">error is 0.1083 for one neighbor and 0.0851 for five neighbors; on an</w:t>
      </w:r>
      <w:r>
        <w:t xml:space="preserve"> </w:t>
      </w:r>
      <w:r>
        <w:t xml:space="preserve">extrapolation grid, the corresponding errors are 2.6891 and 3.7012.</w:t>
      </w:r>
      <w:r>
        <w:t xml:space="preserve"> </w:t>
      </w:r>
      <w:r>
        <w:t xml:space="preserve">These measurements support a local comparison under the stated protocol,</w:t>
      </w:r>
      <w:r>
        <w:t xml:space="preserve"> </w:t>
      </w:r>
      <w:r>
        <w:t xml:space="preserve">not a claim of universal superiority or statistical significance. This is</w:t>
      </w:r>
      <w:r>
        <w:t xml:space="preserve"> </w:t>
      </w:r>
      <w:r>
        <w:t xml:space="preserve">an educational writing example, not a novel method or a submitted paper.</w:t>
      </w:r>
    </w:p>
    <w:bookmarkStart w:id="9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A results paragraph can be numerically correct and still promise more than its</w:t>
      </w:r>
      <w:r>
        <w:t xml:space="preserve"> </w:t>
      </w:r>
      <w:r>
        <w:t xml:space="preserve">experiment establishes. Consider a predictor that reduces error on a fixed</w:t>
      </w:r>
      <w:r>
        <w:t xml:space="preserve"> </w:t>
      </w:r>
      <w:r>
        <w:t xml:space="preserve">evaluation set. That observation answers a question about the tested inputs,</w:t>
      </w:r>
      <w:r>
        <w:t xml:space="preserve"> </w:t>
      </w:r>
      <w:r>
        <w:t xml:space="preserve">training procedure, and metric. It does not automatically answer whether the</w:t>
      </w:r>
      <w:r>
        <w:t xml:space="preserve"> </w:t>
      </w:r>
      <w:r>
        <w:t xml:space="preserve">predictor improves on a different domain, under a different noise process, or</w:t>
      </w:r>
      <w:r>
        <w:t xml:space="preserve"> </w:t>
      </w:r>
      <w:r>
        <w:t xml:space="preserve">with a different training budget. A useful manuscript makes that distinction</w:t>
      </w:r>
      <w:r>
        <w:t xml:space="preserve"> </w:t>
      </w:r>
      <w:r>
        <w:t xml:space="preserve">visible before interpreting the result.</w:t>
      </w:r>
    </w:p>
    <w:p>
      <w:pPr>
        <w:pStyle w:val="BodyText"/>
      </w:pPr>
      <w:r>
        <w:t xml:space="preserve">We use nearest-neighbor regression to make this writing problem inspectable.</w:t>
      </w:r>
      <w:r>
        <w:t xml:space="preserve"> </w:t>
      </w:r>
      <w:r>
        <w:t xml:space="preserve">The estimator is standard, so the reader need not disentangle a new method</w:t>
      </w:r>
      <w:r>
        <w:t xml:space="preserve"> </w:t>
      </w:r>
      <w:r>
        <w:t xml:space="preserve">from a new claim. Our question is deliberately narrow: under one specified</w:t>
      </w:r>
      <w:r>
        <w:t xml:space="preserve"> </w:t>
      </w:r>
      <w:r>
        <w:t xml:space="preserve">synthetic protocol, does averaging five nearby training responses improve</w:t>
      </w:r>
      <w:r>
        <w:t xml:space="preserve"> </w:t>
      </w:r>
      <w:r>
        <w:t xml:space="preserve">mean squared error both inside and beyond the training input range?</w:t>
      </w:r>
    </w:p>
    <w:p>
      <w:pPr>
        <w:pStyle w:val="BodyText"/>
      </w:pPr>
      <w:r>
        <w:t xml:space="preserve">The example has two deliverables. First, it provides a short experiment that</w:t>
      </w:r>
      <w:r>
        <w:t xml:space="preserve"> </w:t>
      </w:r>
      <w:r>
        <w:t xml:space="preserve">reconstructs every table entry from fixed seeds. Second, it shows how a paper</w:t>
      </w:r>
      <w:r>
        <w:t xml:space="preserve"> </w:t>
      </w:r>
      <w:r>
        <w:t xml:space="preserve">can report an improvement and an adverse result without suppressing either.</w:t>
      </w:r>
      <w:r>
        <w:t xml:space="preserve"> </w:t>
      </w:r>
      <w:r>
        <w:t xml:space="preserve">Neither deliverable is presented as a research novelty or evidence that this</w:t>
      </w:r>
      <w:r>
        <w:t xml:space="preserve"> </w:t>
      </w:r>
      <w:r>
        <w:t xml:space="preserve">writing workflow improves conference acceptance rates.</w:t>
      </w:r>
    </w:p>
    <w:bookmarkEnd w:id="9"/>
    <w:bookmarkStart w:id="10" w:name="background-and-scope"/>
    <w:p>
      <w:pPr>
        <w:pStyle w:val="Heading1"/>
      </w:pPr>
      <w:r>
        <w:t xml:space="preserve">Background and Scope</w:t>
      </w:r>
    </w:p>
    <w:p>
      <w:pPr>
        <w:pStyle w:val="FirstParagraph"/>
      </w:pPr>
      <w:r>
        <w:t xml:space="preserve">Nearest-neighbor regression predicts a response by averaging training responses</w:t>
      </w:r>
      <w:r>
        <w:t xml:space="preserve"> </w:t>
      </w:r>
      <w:r>
        <w:t xml:space="preserve">near a query. It is a conventional local estimator, discussed alongside the</w:t>
      </w:r>
      <w:r>
        <w:t xml:space="preserve"> </w:t>
      </w:r>
      <w:r>
        <w:t xml:space="preserve">bias-variance tradeoff in statistical learning texts</w:t>
      </w:r>
      <w:r>
        <w:t xml:space="preserve"> </w:t>
      </w:r>
      <w:r>
        <w:t xml:space="preserve">(Hastie et al. 2009)</w:t>
      </w:r>
      <w:r>
        <w:t xml:space="preserve">. We use this</w:t>
      </w:r>
      <w:r>
        <w:t xml:space="preserve"> </w:t>
      </w:r>
      <w:r>
        <w:t xml:space="preserve">reference for the method’s background, not as support for the numerical results</w:t>
      </w:r>
      <w:r>
        <w:t xml:space="preserve"> </w:t>
      </w:r>
      <w:r>
        <w:t xml:space="preserve">of this example. Those results come only from the accompanying executable.</w:t>
      </w:r>
    </w:p>
    <w:p>
      <w:pPr>
        <w:pStyle w:val="BodyText"/>
      </w:pPr>
      <w:r>
        <w:t xml:space="preserve">Increasing the neighborhood size changes the observations being averaged.</w:t>
      </w:r>
      <w:r>
        <w:t xml:space="preserve"> </w:t>
      </w:r>
      <w:r>
        <w:t xml:space="preserve">It can reduce sensitivity to individual noisy responses while also smoothing</w:t>
      </w:r>
      <w:r>
        <w:t xml:space="preserve"> </w:t>
      </w:r>
      <w:r>
        <w:t xml:space="preserve">local variation. The balance depends on the signal, noise, sample size, and</w:t>
      </w:r>
      <w:r>
        <w:t xml:space="preserve"> </w:t>
      </w:r>
      <w:r>
        <w:t xml:space="preserve">evaluation distribution. We therefore do not begin with the assumption that</w:t>
      </w:r>
      <w:r>
        <w:t xml:space="preserve"> </w:t>
      </w:r>
      <w:r>
        <w:t xml:space="preserve">five neighbors must be preferable. Both neighborhood sizes and both evaluation</w:t>
      </w:r>
      <w:r>
        <w:t xml:space="preserve"> </w:t>
      </w:r>
      <w:r>
        <w:t xml:space="preserve">domains are fixed in the script; there is no automated hyperparameter search.</w:t>
      </w:r>
    </w:p>
    <w:bookmarkEnd w:id="10"/>
    <w:bookmarkStart w:id="11" w:name="experimental-protocol"/>
    <w:p>
      <w:pPr>
        <w:pStyle w:val="Heading1"/>
      </w:pPr>
      <w:r>
        <w:t xml:space="preserve">Experimental Protocol</w:t>
      </w:r>
    </w:p>
    <w:p>
      <w:pPr>
        <w:pStyle w:val="FirstParagraph"/>
      </w:pPr>
      <w:r>
        <w:t xml:space="preserve">The underlying response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t>4</m:t>
          </m:r>
          <m:r>
            <m:t>π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each seed in</w:t>
      </w:r>
      <w:r>
        <w:t xml:space="preserve"> </w:t>
      </w:r>
      <m:oMath>
        <m:r>
          <m:rPr>
            <m:sty m:val="p"/>
          </m:rPr>
          <m:t>{</m:t>
        </m:r>
        <m:r>
          <m:t>11</m:t>
        </m:r>
        <m:r>
          <m:rPr>
            <m:sty m:val="p"/>
          </m:rPr>
          <m:t>,</m:t>
        </m:r>
        <m:r>
          <m:t>22</m:t>
        </m:r>
        <m:r>
          <m:rPr>
            <m:sty m:val="p"/>
          </m:rPr>
          <m:t>,</m:t>
        </m:r>
        <m:r>
          <m:t>33</m:t>
        </m:r>
        <m:r>
          <m:rPr>
            <m:sty m:val="p"/>
          </m:rPr>
          <m:t>,</m:t>
        </m:r>
        <m:r>
          <m:t>44</m:t>
        </m:r>
        <m:r>
          <m:rPr>
            <m:sty m:val="p"/>
          </m:rPr>
          <m:t>,</m:t>
        </m:r>
        <m:r>
          <m:t>55</m:t>
        </m:r>
        <m:r>
          <m:rPr>
            <m:sty m:val="p"/>
          </m:rPr>
          <m:t>}</m:t>
        </m:r>
      </m:oMath>
      <w:r>
        <w:t xml:space="preserve">, we draw 40 training inputs uniformly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add independent uniform response noise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0.5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random generator is Python’s seeded</w:t>
      </w:r>
      <w:r>
        <w:t xml:space="preserve"> </w:t>
      </w:r>
      <w:r>
        <w:rPr>
          <w:rStyle w:val="VerbatimChar"/>
        </w:rPr>
        <w:t xml:space="preserve">random.Random</w:t>
      </w:r>
      <w:r>
        <w:t xml:space="preserve">. Each training pair</w:t>
      </w:r>
      <w:r>
        <w:t xml:space="preserve"> </w:t>
      </w:r>
      <w:r>
        <w:t xml:space="preserve">consumes one input draw followed by one noise draw. The script specifies this</w:t>
      </w:r>
      <w:r>
        <w:t xml:space="preserve"> </w:t>
      </w:r>
      <w:r>
        <w:t xml:space="preserve">order so reproductions do not depend on an unstated sampling convention.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}</m:t>
        </m:r>
      </m:oMath>
      <w:r>
        <w:t xml:space="preserve">, prediction is the arithmetic mean of the responses 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closest training inputs, using absolute input distance. Ties are resolved</w:t>
      </w:r>
      <w:r>
        <w:t xml:space="preserve"> </w:t>
      </w:r>
      <w:r>
        <w:t xml:space="preserve">by training-row order. Both predictors see exactly the same training set</w:t>
      </w:r>
      <w:r>
        <w:t xml:space="preserve"> </w:t>
      </w:r>
      <w:r>
        <w:t xml:space="preserve">within a seed. We do not learn a distance metric, rescale the input, or tune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using the evaluation results.</w:t>
      </w:r>
    </w:p>
    <w:p>
      <w:pPr>
        <w:pStyle w:val="BodyText"/>
      </w:pPr>
      <w:r>
        <w:t xml:space="preserve">The in-domain grid 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101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100</m:t>
        </m:r>
      </m:oMath>
      <w:r>
        <w:t xml:space="preserve">. The</w:t>
      </w:r>
      <w:r>
        <w:t xml:space="preserve"> </w:t>
      </w:r>
      <w:r>
        <w:t xml:space="preserve">extrapolation grid is obtained by adding one to every grid point. Evaluation</w:t>
      </w:r>
      <w:r>
        <w:t xml:space="preserve"> </w:t>
      </w:r>
      <w:r>
        <w:t xml:space="preserve">targets are the noiseless function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rather than new noisy</w:t>
      </w:r>
      <w:r>
        <w:t xml:space="preserve"> </w:t>
      </w:r>
      <w:r>
        <w:t xml:space="preserve">observations. Thus the reported error measures recovery of the chosen</w:t>
      </w:r>
      <w:r>
        <w:t xml:space="preserve"> </w:t>
      </w:r>
      <w:r>
        <w:t xml:space="preserve">function, not prediction of future noisy labels.</w:t>
      </w:r>
    </w:p>
    <w:p>
      <w:pPr>
        <w:pStyle w:val="BodyText"/>
      </w:pPr>
      <w:r>
        <w:t xml:space="preserve">For each training seed, method, and domain, we compute mean squared error over</w:t>
      </w:r>
      <w:r>
        <w:t xml:space="preserve"> </w:t>
      </w:r>
      <w:r>
        <w:t xml:space="preserve">the 101 grid points. We then report the arithmetic mean and sample standard</w:t>
      </w:r>
      <w:r>
        <w:t xml:space="preserve"> </w:t>
      </w:r>
      <w:r>
        <w:t xml:space="preserve">deviation across the five training seeds. The grid points are not treated as</w:t>
      </w:r>
      <w:r>
        <w:t xml:space="preserve"> </w:t>
      </w:r>
      <w:r>
        <w:t xml:space="preserve">101 independent training replications. The standard deviation describes</w:t>
      </w:r>
      <w:r>
        <w:t xml:space="preserve"> </w:t>
      </w:r>
      <w:r>
        <w:t xml:space="preserve">variation across these five fits; it is not a confidence interval.</w:t>
      </w:r>
    </w:p>
    <w:bookmarkEnd w:id="11"/>
    <w:bookmarkStart w:id="12" w:name="results"/>
    <w:p>
      <w:pPr>
        <w:pStyle w:val="Heading1"/>
      </w:pPr>
      <w:r>
        <w:t xml:space="preserve">Results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Evaluation domain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Neighbors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MSE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Sample 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In-domain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In-domain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Extrapolation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2.6891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1.4620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Extrapolation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1.3386</w:t>
            </w:r>
          </w:p>
        </w:tc>
      </w:tr>
    </w:tbl>
    <w:p>
      <w:pPr>
        <w:pStyle w:val="BodyText"/>
      </w:pPr>
      <w:r>
        <w:t xml:space="preserve">Inside the training input range, the five-neighbor predictor has lower mean</w:t>
      </w:r>
      <w:r>
        <w:t xml:space="preserve"> </w:t>
      </w:r>
      <w:r>
        <w:t xml:space="preserve">MSE than the one-neighbor predictor under this protocol. The absolute</w:t>
      </w:r>
      <w:r>
        <w:t xml:space="preserve"> </w:t>
      </w:r>
      <w:r>
        <w:t xml:space="preserve">reduction is approximately 0.0232. This supports the statement that local</w:t>
      </w:r>
      <w:r>
        <w:t xml:space="preserve"> </w:t>
      </w:r>
      <w:r>
        <w:t xml:space="preserve">averaging improves the observed mean error in this particular comparison.</w:t>
      </w:r>
      <w:r>
        <w:t xml:space="preserve"> </w:t>
      </w:r>
      <w:r>
        <w:t xml:space="preserve">We do not describe that reduction as statistically significant: five fixed</w:t>
      </w:r>
      <w:r>
        <w:t xml:space="preserve"> </w:t>
      </w:r>
      <w:r>
        <w:t xml:space="preserve">training replications and a descriptive table are not an inferential test.</w:t>
      </w:r>
    </w:p>
    <w:p>
      <w:pPr>
        <w:pStyle w:val="BodyText"/>
      </w:pPr>
      <w:r>
        <w:t xml:space="preserve">Beyond the training range, the ordering reverses. Five neighbors have higher</w:t>
      </w:r>
      <w:r>
        <w:t xml:space="preserve"> </w:t>
      </w:r>
      <w:r>
        <w:t xml:space="preserve">mean MSE, by approximately 1.0121. Omitting this domain would leave the</w:t>
      </w:r>
      <w:r>
        <w:t xml:space="preserve"> </w:t>
      </w:r>
      <w:r>
        <w:t xml:space="preserve">impression that the in-domain improvement establishes a broader property</w:t>
      </w:r>
      <w:r>
        <w:t xml:space="preserve"> </w:t>
      </w:r>
      <w:r>
        <w:t xml:space="preserve">than was tested. Reporting both domains instead makes the claim’s boundary</w:t>
      </w:r>
      <w:r>
        <w:t xml:space="preserve"> </w:t>
      </w:r>
      <w:r>
        <w:t xml:space="preserve">explicit: the observed advantage does not carry over to this extrapolation</w:t>
      </w:r>
      <w:r>
        <w:t xml:space="preserve"> </w:t>
      </w:r>
      <w:r>
        <w:t xml:space="preserve">setting.</w:t>
      </w:r>
    </w:p>
    <w:p>
      <w:pPr>
        <w:pStyle w:val="BodyText"/>
      </w:pPr>
      <w:r>
        <w:t xml:space="preserve">The per-seed CSV is part of the example, alongside the aggregation JSON and</w:t>
      </w:r>
      <w:r>
        <w:t xml:space="preserve"> </w:t>
      </w:r>
      <w:r>
        <w:t xml:space="preserve">the exact executable. Readers can inspect individual fits rather than rely</w:t>
      </w:r>
      <w:r>
        <w:t xml:space="preserve"> </w:t>
      </w:r>
      <w:r>
        <w:t xml:space="preserve">only on rounded table entries. Reproduction checks compare unrounded values</w:t>
      </w:r>
      <w:r>
        <w:t xml:space="preserve"> </w:t>
      </w:r>
      <w:r>
        <w:t xml:space="preserve">with a small floating-point tolerance and separately check the displayed</w:t>
      </w:r>
      <w:r>
        <w:t xml:space="preserve"> </w:t>
      </w:r>
      <w:r>
        <w:t xml:space="preserve">rounding; they do not infer scientific validity from file existence.</w:t>
      </w:r>
    </w:p>
    <w:bookmarkEnd w:id="12"/>
    <w:bookmarkStart w:id="13" w:name="interpretation"/>
    <w:p>
      <w:pPr>
        <w:pStyle w:val="Heading1"/>
      </w:pPr>
      <w:r>
        <w:t xml:space="preserve">Interpretation</w:t>
      </w:r>
    </w:p>
    <w:p>
      <w:pPr>
        <w:pStyle w:val="FirstParagraph"/>
      </w:pPr>
      <w:r>
        <w:t xml:space="preserve">For any query to the right of all training inputs, the ordering of input</w:t>
      </w:r>
      <w:r>
        <w:t xml:space="preserve"> </w:t>
      </w:r>
      <w:r>
        <w:t xml:space="preserve">distances is fixed. For a fixed training set, each nearest-neighbor predictor</w:t>
      </w:r>
      <w:r>
        <w:t xml:space="preserve"> </w:t>
      </w:r>
      <w:r>
        <w:t xml:space="preserve">therefore returns a constant throughout our extrapolation interval: the</w:t>
      </w:r>
      <w:r>
        <w:t xml:space="preserve"> </w:t>
      </w:r>
      <w:r>
        <w:t xml:space="preserve">response at the rightmost training input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or the mean response of</w:t>
      </w:r>
      <w:r>
        <w:t xml:space="preserve"> </w:t>
      </w:r>
      <w:r>
        <w:t xml:space="preserve">the five rightmost inputs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. Neither estimator extrapolates the</w:t>
      </w:r>
      <w:r>
        <w:t xml:space="preserve"> </w:t>
      </w:r>
      <w:r>
        <w:t xml:space="preserve">chosen signal’s linear trend or oscillations. This follows from the estimator</w:t>
      </w:r>
      <w:r>
        <w:t xml:space="preserve"> </w:t>
      </w:r>
      <w:r>
        <w:t xml:space="preserve">definition, independently of the observed ranking in the results table.</w:t>
      </w:r>
    </w:p>
    <w:p>
      <w:pPr>
        <w:pStyle w:val="BodyText"/>
      </w:pPr>
      <w:r>
        <w:t xml:space="preserve">That observation explains why extrapolation needs its own evaluation; it</w:t>
      </w:r>
      <w:r>
        <w:t xml:space="preserve"> </w:t>
      </w:r>
      <w:r>
        <w:t xml:space="preserve">does not prove that one neighbor will always outperform five there. The</w:t>
      </w:r>
      <w:r>
        <w:t xml:space="preserve"> </w:t>
      </w:r>
      <w:r>
        <w:t xml:space="preserve">ranking also depends on noisy boundary responses, the sampled training</w:t>
      </w:r>
      <w:r>
        <w:t xml:space="preserve"> </w:t>
      </w:r>
      <w:r>
        <w:t xml:space="preserve">inputs, and the target function. A different function or noise realization</w:t>
      </w:r>
      <w:r>
        <w:t xml:space="preserve"> </w:t>
      </w:r>
      <w:r>
        <w:t xml:space="preserve">could change it. The strongest defensible conclusion remains a comparison</w:t>
      </w:r>
      <w:r>
        <w:t xml:space="preserve"> </w:t>
      </w:r>
      <w:r>
        <w:t xml:space="preserve">of the reported errors under the stated conditions.</w:t>
      </w:r>
    </w:p>
    <w:bookmarkEnd w:id="13"/>
    <w:bookmarkStart w:id="14" w:name="limitations"/>
    <w:p>
      <w:pPr>
        <w:pStyle w:val="Heading1"/>
      </w:pPr>
      <w:r>
        <w:t xml:space="preserve">Limitations</w:t>
      </w:r>
    </w:p>
    <w:p>
      <w:pPr>
        <w:pStyle w:val="FirstParagraph"/>
      </w:pPr>
      <w:r>
        <w:t xml:space="preserve">The study uses one function, one sample size, one noise distribution, two</w:t>
      </w:r>
      <w:r>
        <w:t xml:space="preserve"> </w:t>
      </w:r>
      <w:r>
        <w:t xml:space="preserve">neighborhood sizes, and five fixed seeds. It contains no real-world data,</w:t>
      </w:r>
      <w:r>
        <w:t xml:space="preserve"> </w:t>
      </w:r>
      <w:r>
        <w:t xml:space="preserve">external benchmark, validation-selected hyperparameters, uncertainty-calibrated</w:t>
      </w:r>
      <w:r>
        <w:t xml:space="preserve"> </w:t>
      </w:r>
      <w:r>
        <w:t xml:space="preserve">prediction intervals, or evidence about other regressors. A smooth parametric</w:t>
      </w:r>
      <w:r>
        <w:t xml:space="preserve"> </w:t>
      </w:r>
      <w:r>
        <w:t xml:space="preserve">baseline could answer a different and useful question, but none was evaluated</w:t>
      </w:r>
      <w:r>
        <w:t xml:space="preserve"> </w:t>
      </w:r>
      <w:r>
        <w:t xml:space="preserve">here. It must not appear in the paper as a completed experiment.</w:t>
      </w:r>
    </w:p>
    <w:p>
      <w:pPr>
        <w:pStyle w:val="BodyText"/>
      </w:pPr>
      <w:r>
        <w:t xml:space="preserve">The protocol was designed for an inspectable educational example, not</w:t>
      </w:r>
      <w:r>
        <w:t xml:space="preserve"> </w:t>
      </w:r>
      <w:r>
        <w:t xml:space="preserve">preregistered research. The example’s author reviewed the resulting table</w:t>
      </w:r>
      <w:r>
        <w:t xml:space="preserve"> </w:t>
      </w:r>
      <w:r>
        <w:t xml:space="preserve">before writing this manuscript. We make no claim that the setup or reported</w:t>
      </w:r>
      <w:r>
        <w:t xml:space="preserve"> </w:t>
      </w:r>
      <w:r>
        <w:t xml:space="preserve">conditions were selected independently of the pedagogical objective.</w:t>
      </w:r>
    </w:p>
    <w:p>
      <w:pPr>
        <w:pStyle w:val="BodyText"/>
      </w:pPr>
      <w:r>
        <w:t xml:space="preserve">The manuscript was authored with AI assistance for this repository and</w:t>
      </w:r>
      <w:r>
        <w:t xml:space="preserve"> </w:t>
      </w:r>
      <w:r>
        <w:t xml:space="preserve">checked against its accompanying code and materials. Its original prose and</w:t>
      </w:r>
      <w:r>
        <w:t xml:space="preserve"> </w:t>
      </w:r>
      <w:r>
        <w:t xml:space="preserve">synthetic experiment are public teaching artifacts, not an autonomous-writing</w:t>
      </w:r>
      <w:r>
        <w:t xml:space="preserve"> </w:t>
      </w:r>
      <w:r>
        <w:t xml:space="preserve">benchmark, a blind human evaluation, or a paper accepted by any venue.</w:t>
      </w:r>
    </w:p>
    <w:bookmarkEnd w:id="14"/>
    <w:bookmarkStart w:id="18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The five-neighbor predictor improves mean error on the tested in-domain grid</w:t>
      </w:r>
      <w:r>
        <w:t xml:space="preserve"> </w:t>
      </w:r>
      <w:r>
        <w:t xml:space="preserve">but worsens it on the tested extrapolation grid. Keeping both observations</w:t>
      </w:r>
      <w:r>
        <w:t xml:space="preserve"> </w:t>
      </w:r>
      <w:r>
        <w:t xml:space="preserve">in the manuscript turns a broad claim of robustness into a specific,</w:t>
      </w:r>
      <w:r>
        <w:t xml:space="preserve"> </w:t>
      </w:r>
      <w:r>
        <w:t xml:space="preserve">reproducible comparison. The example illustrates an evidence boundary;</w:t>
      </w:r>
      <w:r>
        <w:t xml:space="preserve"> </w:t>
      </w:r>
      <w:r>
        <w:t xml:space="preserve">it does not introduce a new learning method or establish general robustness.</w:t>
      </w:r>
    </w:p>
    <w:bookmarkStart w:id="17" w:name="refs"/>
    <w:bookmarkStart w:id="16" w:name="ref-hastie2009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6"/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Times New Roman" w:cs="Times New Roma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Times New Roman" w:cs="Times New Roma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Times New Roman" w:cs="Times New Roma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Times New Roman" w:cs="Times New Roma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Times New Roman" w:cs="Times New Roman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Times New Roman" w:cs="Times New Roma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Times New Roman" w:cs="Times New Roman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Times New Roman" w:cs="Times New Roma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  <w:rFonts w:ascii="Times New Roman" w:hAnsi="Times New Roman" w:eastAsia="Times New Roman" w:cs="Times New Roman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  <w:rFonts w:ascii="Times New Roman" w:hAnsi="Times New Roman" w:eastAsia="Times New Roman" w:cs="Times New Roman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  <w:rFonts w:ascii="Times New Roman" w:hAnsi="Times New Roman" w:eastAsia="Times New Roman" w:cs="Times New Roma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  <w:rFonts w:ascii="Times New Roman" w:hAnsi="Times New Roman" w:eastAsia="Times New Roman" w:cs="Times New Roman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Times New Roman" w:cs="Times New Roma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Times New Roman" w:cs="Times New Roman"/>
      <w:color w:themeColor="accent1" w:themeShade="BF" w:val="000000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Times New Roman" w:cs="Times New Roman"/>
      <w:color w:themeColor="accent1" w:themeShade="BF" w:val="000000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Times New Roman" w:cs="Times New Roman"/>
      <w:color w:themeColor="accent1" w:themeShade="BF"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Times New Roman" w:cs="Times New Roman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Times New Roman" w:cs="Times New Roman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Times New Roman" w:cs="Times New Roman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Times New Roman" w:cs="Times New Roman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Times New Roman" w:cs="Times New Roman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Times New Roman" w:cs="Times New Roman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Times New Roman" w:cs="Times New Roman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Times New Roman" w:cs="Times New Roman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Times New Roman" w:cs="Times New Roman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Times New Roman" w:cs="Times New Roman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Times New Roman" w:cs="Times New Roman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Times New Roman" w:cs="Times New Roman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Times New Roman" w:cs="Times New Roman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Times New Roman" w:cs="Times New Roman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Times New Roman" w:cs="Times New Roman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  <w:rFonts w:ascii="Times New Roman" w:hAnsi="Times New Roman" w:eastAsia="Times New Roman" w:cs="Times New Roman"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  <w:rFonts w:ascii="Times New Roman" w:hAnsi="Times New Roman" w:eastAsia="Times New Roman" w:cs="Times New Roman"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Times New Roman" w:cs="Times New Roman"/>
    </w:r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Times New Roman" w:hAnsi="Times New Roman" w:eastAsia="Times New Roman" w:cs="Times New Roman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  <w:rFonts w:ascii="Times New Roman" w:hAnsi="Times New Roman" w:eastAsia="Times New Roman" w:cs="Times New Roman"/>
    </w:rPr>
  </w:style>
  <w:style w:styleId="Hyperlink" w:type="character">
    <w:name w:val="Hyperlink"/>
    <w:basedOn w:val="BodyTextChar"/>
    <w:rPr>
      <w:color w:themeColor="accent1" w:val="4F81BD"/>
      <w:rFonts w:ascii="Times New Roman" w:hAnsi="Times New Roman" w:eastAsia="Times New Roman" w:cs="Times New Roma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Times New Roman" w:cs="Times New Roman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  <w:rFonts w:ascii="Times New Roman" w:hAnsi="Times New Roman" w:eastAsia="Times New Roman" w:cs="Times New Roman"/>
    </w:rPr>
  </w:style>
  <w:style w:type="character" w:customStyle="1" w:styleId="DataTypeTok">
    <w:name w:val="DataTypeTok"/>
    <w:basedOn w:val="VerbatimChar"/>
    <w:rPr>
      <w:color w:val="902000"/>
      <w:rFonts w:ascii="Times New Roman" w:hAnsi="Times New Roman" w:eastAsia="Times New Roman" w:cs="Times New Roman"/>
    </w:rPr>
  </w:style>
  <w:style w:type="character" w:customStyle="1" w:styleId="DecValTok">
    <w:name w:val="DecValTok"/>
    <w:basedOn w:val="VerbatimChar"/>
    <w:rPr>
      <w:color w:val="40a070"/>
      <w:rFonts w:ascii="Times New Roman" w:hAnsi="Times New Roman" w:eastAsia="Times New Roman" w:cs="Times New Roman"/>
    </w:rPr>
  </w:style>
  <w:style w:type="character" w:customStyle="1" w:styleId="BaseNTok">
    <w:name w:val="BaseNTok"/>
    <w:basedOn w:val="VerbatimChar"/>
    <w:rPr>
      <w:color w:val="40a070"/>
      <w:rFonts w:ascii="Times New Roman" w:hAnsi="Times New Roman" w:eastAsia="Times New Roman" w:cs="Times New Roman"/>
    </w:rPr>
  </w:style>
  <w:style w:type="character" w:customStyle="1" w:styleId="FloatTok">
    <w:name w:val="FloatTok"/>
    <w:basedOn w:val="VerbatimChar"/>
    <w:rPr>
      <w:color w:val="40a070"/>
      <w:rFonts w:ascii="Times New Roman" w:hAnsi="Times New Roman" w:eastAsia="Times New Roman" w:cs="Times New Roman"/>
    </w:rPr>
  </w:style>
  <w:style w:type="character" w:customStyle="1" w:styleId="ConstantTok">
    <w:name w:val="ConstantTok"/>
    <w:basedOn w:val="VerbatimChar"/>
    <w:rPr>
      <w:color w:val="880000"/>
      <w:rFonts w:ascii="Times New Roman" w:hAnsi="Times New Roman" w:eastAsia="Times New Roman" w:cs="Times New Roman"/>
    </w:rPr>
  </w:style>
  <w:style w:type="character" w:customStyle="1" w:styleId="CharTok">
    <w:name w:val="CharTok"/>
    <w:basedOn w:val="VerbatimChar"/>
    <w:rPr>
      <w:color w:val="4070a0"/>
      <w:rFonts w:ascii="Times New Roman" w:hAnsi="Times New Roman" w:eastAsia="Times New Roman" w:cs="Times New Roman"/>
    </w:rPr>
  </w:style>
  <w:style w:type="character" w:customStyle="1" w:styleId="SpecialCharTok">
    <w:name w:val="SpecialCharTok"/>
    <w:basedOn w:val="VerbatimChar"/>
    <w:rPr>
      <w:color w:val="4070a0"/>
      <w:rFonts w:ascii="Times New Roman" w:hAnsi="Times New Roman" w:eastAsia="Times New Roman" w:cs="Times New Roman"/>
    </w:rPr>
  </w:style>
  <w:style w:type="character" w:customStyle="1" w:styleId="StringTok">
    <w:name w:val="StringTok"/>
    <w:basedOn w:val="VerbatimChar"/>
    <w:rPr>
      <w:color w:val="4070a0"/>
      <w:rFonts w:ascii="Times New Roman" w:hAnsi="Times New Roman" w:eastAsia="Times New Roman" w:cs="Times New Roman"/>
    </w:rPr>
  </w:style>
  <w:style w:type="character" w:customStyle="1" w:styleId="VerbatimStringTok">
    <w:name w:val="VerbatimStringTok"/>
    <w:basedOn w:val="VerbatimChar"/>
    <w:rPr>
      <w:color w:val="4070a0"/>
      <w:rFonts w:ascii="Times New Roman" w:hAnsi="Times New Roman" w:eastAsia="Times New Roman" w:cs="Times New Roman"/>
    </w:rPr>
  </w:style>
  <w:style w:type="character" w:customStyle="1" w:styleId="SpecialStringTok">
    <w:name w:val="SpecialStringTok"/>
    <w:basedOn w:val="VerbatimChar"/>
    <w:rPr>
      <w:color w:val="bb6688"/>
      <w:rFonts w:ascii="Times New Roman" w:hAnsi="Times New Roman" w:eastAsia="Times New Roman" w:cs="Times New Roman"/>
    </w:rPr>
  </w:style>
  <w:style w:type="character" w:customStyle="1" w:styleId="ImportTok">
    <w:name w:val="ImportTok"/>
    <w:basedOn w:val="VerbatimChar"/>
    <w:rPr>
      <w:b/>
      <w:color w:val="008000"/>
      <w:rFonts w:ascii="Times New Roman" w:hAnsi="Times New Roman" w:eastAsia="Times New Roman" w:cs="Times New Roman"/>
    </w:rPr>
  </w:style>
  <w:style w:type="character" w:customStyle="1" w:styleId="CommentTok">
    <w:name w:val="CommentTok"/>
    <w:basedOn w:val="VerbatimChar"/>
    <w:rPr>
      <w:i/>
      <w:color w:val="60a0b0"/>
      <w:rFonts w:ascii="Times New Roman" w:hAnsi="Times New Roman" w:eastAsia="Times New Roman" w:cs="Times New Roman"/>
    </w:rPr>
  </w:style>
  <w:style w:type="character" w:customStyle="1" w:styleId="DocumentationTok">
    <w:name w:val="DocumentationTok"/>
    <w:basedOn w:val="VerbatimChar"/>
    <w:rPr>
      <w:i/>
      <w:color w:val="ba2121"/>
      <w:rFonts w:ascii="Times New Roman" w:hAnsi="Times New Roman" w:eastAsia="Times New Roman" w:cs="Times New Roman"/>
    </w:rPr>
  </w:style>
  <w:style w:type="character" w:customStyle="1" w:styleId="AnnotationTok">
    <w:name w:val="AnnotationTok"/>
    <w:basedOn w:val="VerbatimChar"/>
    <w:rPr>
      <w:b/>
      <w:i/>
      <w:color w:val="60a0b0"/>
      <w:rFonts w:ascii="Times New Roman" w:hAnsi="Times New Roman" w:eastAsia="Times New Roman" w:cs="Times New Roman"/>
    </w:rPr>
  </w:style>
  <w:style w:type="character" w:customStyle="1" w:styleId="CommentVarTok">
    <w:name w:val="CommentVarTok"/>
    <w:basedOn w:val="VerbatimChar"/>
    <w:rPr>
      <w:b/>
      <w:i/>
      <w:color w:val="60a0b0"/>
      <w:rFonts w:ascii="Times New Roman" w:hAnsi="Times New Roman" w:eastAsia="Times New Roman" w:cs="Times New Roman"/>
    </w:rPr>
  </w:style>
  <w:style w:type="character" w:customStyle="1" w:styleId="OtherTok">
    <w:name w:val="OtherTok"/>
    <w:basedOn w:val="VerbatimChar"/>
    <w:rPr>
      <w:color w:val="007020"/>
      <w:rFonts w:ascii="Times New Roman" w:hAnsi="Times New Roman" w:eastAsia="Times New Roman" w:cs="Times New Roman"/>
    </w:rPr>
  </w:style>
  <w:style w:type="character" w:customStyle="1" w:styleId="FunctionTok">
    <w:name w:val="FunctionTok"/>
    <w:basedOn w:val="VerbatimChar"/>
    <w:rPr>
      <w:color w:val="06287e"/>
      <w:rFonts w:ascii="Times New Roman" w:hAnsi="Times New Roman" w:eastAsia="Times New Roman" w:cs="Times New Roman"/>
    </w:rPr>
  </w:style>
  <w:style w:type="character" w:customStyle="1" w:styleId="VariableTok">
    <w:name w:val="VariableTok"/>
    <w:basedOn w:val="VerbatimChar"/>
    <w:rPr>
      <w:color w:val="19177c"/>
      <w:rFonts w:ascii="Times New Roman" w:hAnsi="Times New Roman" w:eastAsia="Times New Roman" w:cs="Times New Roman"/>
    </w:rPr>
  </w:style>
  <w:style w:type="character" w:customStyle="1" w:styleId="ControlFlowTok">
    <w:name w:val="ControlFlowTok"/>
    <w:basedOn w:val="VerbatimChar"/>
    <w:rPr>
      <w:b/>
      <w:color w:val="007020"/>
      <w:rFonts w:ascii="Times New Roman" w:hAnsi="Times New Roman" w:eastAsia="Times New Roman" w:cs="Times New Roman"/>
    </w:rPr>
  </w:style>
  <w:style w:type="character" w:customStyle="1" w:styleId="OperatorTok">
    <w:name w:val="OperatorTok"/>
    <w:basedOn w:val="VerbatimChar"/>
    <w:rPr>
      <w:color w:val="666666"/>
      <w:rFonts w:ascii="Times New Roman" w:hAnsi="Times New Roman" w:eastAsia="Times New Roman" w:cs="Times New Roman"/>
    </w:rPr>
  </w:style>
  <w:style w:type="character" w:customStyle="1" w:styleId="BuiltInTok">
    <w:name w:val="BuiltInTok"/>
    <w:basedOn w:val="VerbatimChar"/>
    <w:rPr>
      <w:color w:val="008000"/>
      <w:rFonts w:ascii="Times New Roman" w:hAnsi="Times New Roman" w:eastAsia="Times New Roman" w:cs="Times New Roman"/>
    </w:rPr>
  </w:style>
  <w:style w:type="character" w:customStyle="1" w:styleId="ExtensionTok">
    <w:name w:val="ExtensionTok"/>
    <w:basedOn w:val="VerbatimChar"/>
    <w:rPr>
      <w:rFonts w:ascii="Times New Roman" w:hAnsi="Times New Roman" w:eastAsia="Times New Roman" w:cs="Times New Roman"/>
    </w:rPr>
  </w:style>
  <w:style w:type="character" w:customStyle="1" w:styleId="PreprocessorTok">
    <w:name w:val="PreprocessorTok"/>
    <w:basedOn w:val="VerbatimChar"/>
    <w:rPr>
      <w:color w:val="bc7a00"/>
      <w:rFonts w:ascii="Times New Roman" w:hAnsi="Times New Roman" w:eastAsia="Times New Roman" w:cs="Times New Roman"/>
    </w:rPr>
  </w:style>
  <w:style w:type="character" w:customStyle="1" w:styleId="AttributeTok">
    <w:name w:val="AttributeTok"/>
    <w:basedOn w:val="VerbatimChar"/>
    <w:rPr>
      <w:color w:val="7d9029"/>
      <w:rFonts w:ascii="Times New Roman" w:hAnsi="Times New Roman" w:eastAsia="Times New Roman" w:cs="Times New Roman"/>
    </w:rPr>
  </w:style>
  <w:style w:type="character" w:customStyle="1" w:styleId="RegionMarkerTok">
    <w:name w:val="RegionMarkerTok"/>
    <w:basedOn w:val="VerbatimChar"/>
    <w:rPr>
      <w:rFonts w:ascii="Times New Roman" w:hAnsi="Times New Roman" w:eastAsia="Times New Roman" w:cs="Times New Roman"/>
    </w:rPr>
  </w:style>
  <w:style w:type="character" w:customStyle="1" w:styleId="InformationTok">
    <w:name w:val="InformationTok"/>
    <w:basedOn w:val="VerbatimChar"/>
    <w:rPr>
      <w:b/>
      <w:i/>
      <w:color w:val="60a0b0"/>
      <w:rFonts w:ascii="Times New Roman" w:hAnsi="Times New Roman" w:eastAsia="Times New Roman" w:cs="Times New Roman"/>
    </w:rPr>
  </w:style>
  <w:style w:type="character" w:customStyle="1" w:styleId="WarningTok">
    <w:name w:val="WarningTok"/>
    <w:basedOn w:val="VerbatimChar"/>
    <w:rPr>
      <w:b/>
      <w:i/>
      <w:color w:val="60a0b0"/>
      <w:rFonts w:ascii="Times New Roman" w:hAnsi="Times New Roman" w:eastAsia="Times New Roman" w:cs="Times New Roman"/>
    </w:rPr>
  </w:style>
  <w:style w:type="character" w:customStyle="1" w:styleId="AlertTok">
    <w:name w:val="AlertTok"/>
    <w:basedOn w:val="VerbatimChar"/>
    <w:rPr>
      <w:b/>
      <w:color w:val="ff0000"/>
      <w:rFonts w:ascii="Times New Roman" w:hAnsi="Times New Roman" w:eastAsia="Times New Roman" w:cs="Times New Roman"/>
    </w:rPr>
  </w:style>
  <w:style w:type="character" w:customStyle="1" w:styleId="ErrorTok">
    <w:name w:val="ErrorTok"/>
    <w:basedOn w:val="VerbatimChar"/>
    <w:rPr>
      <w:b/>
      <w:color w:val="ff0000"/>
      <w:rFonts w:ascii="Times New Roman" w:hAnsi="Times New Roman" w:eastAsia="Times New Roman" w:cs="Times New Roman"/>
    </w:rPr>
  </w:style>
  <w:style w:type="character" w:customStyle="1" w:styleId="NormalTok">
    <w:name w:val="NormalTok"/>
    <w:basedOn w:val="VerbatimChar"/>
    <w:rPr>
      <w:rFonts w:ascii="Times New Roman" w:hAnsi="Times New Roman" w:eastAsia="Times New Roman" w:cs="Times New Roma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https://doi.org/10.1007/978-0-387-84858-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https://doi.org/10.1007/978-0-387-84858-7" TargetMode="External" /></Relationships>
</file>

<file path=word/theme/theme1.xml><?xml version="1.0" encoding="utf-8"?>
<a:theme xmlns:a="http://schemas.openxmlformats.org/drawingml/2006/main" xmlns:ns1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Times New Roman"/>
        <a:cs typeface="Times New Roman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110004020202020204"/>
        <a:ea typeface="Times New Roman"/>
        <a:cs typeface="Times New Roman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ns1:themeFamily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 Smoothing Does Not Establish Extrapolation: A Reproducible Toy Study</dc:title>
  <dc:creator>Super Writer worked example</dc:creator>
  <cp:keywords/>
  <dcterms:created xsi:type="dcterms:W3CDTF">2026-09-05T14:59:50Z</dcterms:created>
  <dcterms:modified xsi:type="dcterms:W3CDTF">2026-09-05T14:59:50Z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Better error on a familiar input range does not establish robustness outside that range. We illustrate this distinction with an executable, synthetic nearest-neighbor regression study. One-neighbor and five-neighbor predictors are fitted to 40 noisy observations from a known one-dimensional function, using five fixed training seeds. On an interior evaluation grid, mean squared error is 0.1083 for one neighbor and 0.0851 for five neighbors; on an extrapolation grid, the corresponding errors are 2.6891 and 3.7012. These measurements support a local comparison under the stated protocol, not a claim of universal superiority or statistical significance. This is an educational writing example, not a novel method or a submitted paper.</vt:lpwstr>
  </property>
  <property fmtid="{D5CDD505-2E9C-101B-9397-08002B2CF9AE}" pid="3" name="bibliography">
    <vt:lpwstr>references.bib</vt:lpwstr>
  </property>
  <property fmtid="{D5CDD505-2E9C-101B-9397-08002B2CF9AE}" pid="4" name="date">
    <vt:lpwstr>September 2026</vt:lpwstr>
  </property>
</Properties>
</file>