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Reviewer Response: Local Smoothing and Extrapolation</w:t>
      </w:r>
    </w:p>
    <w:p>
      <w:pPr>
        <w:pStyle w:val="Author"/>
      </w:pPr>
      <w:r>
        <w:t xml:space="preserve">Super Writer worked example</w:t>
      </w:r>
    </w:p>
    <w:p>
      <w:pPr>
        <w:pStyle w:val="Date"/>
      </w:pPr>
      <w:r>
        <w:t xml:space="preserve">September 2026</w:t>
      </w:r>
    </w:p>
    <w:p>
      <w:pPr>
        <w:pStyle w:val="FirstParagraph"/>
      </w:pPr>
      <w:r>
        <w:rPr>
          <w:b/>
          <w:bCs/>
        </w:rPr>
        <w:t xml:space="preserve">Educational mock response.</w:t>
      </w:r>
      <w:r>
        <w:t xml:space="preserve"> </w:t>
      </w:r>
      <w:r>
        <w:t xml:space="preserve">These comments were written for the repository;</w:t>
      </w:r>
      <w:r>
        <w:t xml:space="preserve"> </w:t>
      </w:r>
      <w:r>
        <w:t xml:space="preserve">they did not come from a conference. The response uses only the measurements in</w:t>
      </w:r>
      <w:r>
        <w:t xml:space="preserve"> </w:t>
      </w:r>
      <w:r>
        <w:t xml:space="preserve">the companion toy regression example. This generic layout is not a venue’s</w:t>
      </w:r>
      <w:r>
        <w:t xml:space="preserve"> </w:t>
      </w:r>
      <w:r>
        <w:t xml:space="preserve">official rebuttal template.</w:t>
      </w:r>
    </w:p>
    <w:bookmarkStart w:id="9" w:name="X97510942971b6f300c6aec883a139a0f622c052"/>
    <w:p>
      <w:pPr>
        <w:pStyle w:val="Heading2"/>
      </w:pPr>
      <w:r>
        <w:t xml:space="preserve">R1: The robustness claim is broader than the evidence</w:t>
      </w:r>
    </w:p>
    <w:p>
      <w:pPr>
        <w:pStyle w:val="FirstParagraph"/>
      </w:pPr>
      <w:r>
        <w:rPr>
          <w:b/>
          <w:bCs/>
        </w:rPr>
        <w:t xml:space="preserve">Comment.</w:t>
      </w:r>
      <w:r>
        <w:t xml:space="preserve"> </w:t>
      </w:r>
      <w:r>
        <w:t xml:space="preserve">The draft claims robustness to distribution shift, although the</w:t>
      </w:r>
      <w:r>
        <w:t xml:space="preserve"> </w:t>
      </w:r>
      <w:r>
        <w:t xml:space="preserve">extrapolation results appear worse for five neighbors. Please reconcile the</w:t>
      </w:r>
      <w:r>
        <w:t xml:space="preserve"> </w:t>
      </w:r>
      <w:r>
        <w:t xml:space="preserve">abstract with the table.</w:t>
      </w:r>
    </w:p>
    <w:p>
      <w:pPr>
        <w:pStyle w:val="BodyText"/>
      </w:pPr>
      <w:r>
        <w:rPr>
          <w:b/>
          <w:bCs/>
        </w:rPr>
        <w:t xml:space="preserve">Response.</w:t>
      </w:r>
      <w:r>
        <w:t xml:space="preserve"> </w:t>
      </w:r>
      <w:r>
        <w:t xml:space="preserve">We agree. The in-domain mean MSE decreases from 0.1083 to 0.0851,</w:t>
      </w:r>
      <w:r>
        <w:t xml:space="preserve"> </w:t>
      </w:r>
      <w:r>
        <w:t xml:space="preserve">but the extrapolation mean increases from 2.6891 to 3.7012. We removed the</w:t>
      </w:r>
      <w:r>
        <w:t xml:space="preserve"> </w:t>
      </w:r>
      <w:r>
        <w:t xml:space="preserve">general robustness claim. The revised abstract reports both domains, and</w:t>
      </w:r>
      <w:r>
        <w:t xml:space="preserve"> </w:t>
      </w:r>
      <w:r>
        <w:t xml:space="preserve">the Results section states that the in-domain advantage does not extend to</w:t>
      </w:r>
      <w:r>
        <w:t xml:space="preserve"> </w:t>
      </w:r>
      <w:r>
        <w:t xml:space="preserve">this tested extrapolation setting. The Interpretation section explains why</w:t>
      </w:r>
      <w:r>
        <w:t xml:space="preserve"> </w:t>
      </w:r>
      <w:r>
        <w:t xml:space="preserve">nearest-neighbor predictions are constant beyond the rightmost training input,</w:t>
      </w:r>
      <w:r>
        <w:t xml:space="preserve"> </w:t>
      </w:r>
      <w:r>
        <w:t xml:space="preserve">without claiming that this determines the ranking on every function.</w:t>
      </w:r>
    </w:p>
    <w:bookmarkEnd w:id="9"/>
    <w:bookmarkStart w:id="10" w:name="r2-the-uncertainty-notation-is-unclear"/>
    <w:p>
      <w:pPr>
        <w:pStyle w:val="Heading2"/>
      </w:pPr>
      <w:r>
        <w:t xml:space="preserve">R2: The uncertainty notation is unclear</w:t>
      </w:r>
    </w:p>
    <w:p>
      <w:pPr>
        <w:pStyle w:val="FirstParagraph"/>
      </w:pPr>
      <w:r>
        <w:rPr>
          <w:b/>
          <w:bCs/>
        </w:rPr>
        <w:t xml:space="preserve">Comment.</w:t>
      </w:r>
      <w:r>
        <w:t xml:space="preserve"> </w:t>
      </w:r>
      <w:r>
        <w:t xml:space="preserve">Are the error bars confidence intervals? Were grid points treated</w:t>
      </w:r>
      <w:r>
        <w:t xml:space="preserve"> </w:t>
      </w:r>
      <w:r>
        <w:t xml:space="preserve">as independent experimental runs?</w:t>
      </w:r>
    </w:p>
    <w:p>
      <w:pPr>
        <w:pStyle w:val="BodyText"/>
      </w:pPr>
      <w:r>
        <w:rPr>
          <w:b/>
          <w:bCs/>
        </w:rPr>
        <w:t xml:space="preserve">Response.</w:t>
      </w:r>
      <w:r>
        <w:t xml:space="preserve"> </w:t>
      </w:r>
      <w:r>
        <w:t xml:space="preserve">The table reports sample standard deviation across five training</w:t>
      </w:r>
      <w:r>
        <w:t xml:space="preserve"> </w:t>
      </w:r>
      <w:r>
        <w:t xml:space="preserve">seeds, not a confidence interval. Each seed produces one MSE per method and</w:t>
      </w:r>
      <w:r>
        <w:t xml:space="preserve"> </w:t>
      </w:r>
      <w:r>
        <w:t xml:space="preserve">domain by averaging over 101 fixed grid points. The grid points are not counted</w:t>
      </w:r>
      <w:r>
        <w:t xml:space="preserve"> </w:t>
      </w:r>
      <w:r>
        <w:t xml:space="preserve">as separate training replications. We now state the aggregation unit in the</w:t>
      </w:r>
      <w:r>
        <w:t xml:space="preserve"> </w:t>
      </w:r>
      <w:r>
        <w:t xml:space="preserve">Experimental Protocol and label the column</w:t>
      </w:r>
      <w:r>
        <w:t xml:space="preserve"> </w:t>
      </w:r>
      <w:r>
        <w:t xml:space="preserve">“Sample SD.”</w:t>
      </w:r>
      <w:r>
        <w:t xml:space="preserve"> </w:t>
      </w:r>
      <w:r>
        <w:t xml:space="preserve">We also removed</w:t>
      </w:r>
      <w:r>
        <w:t xml:space="preserve"> </w:t>
      </w:r>
      <w:r>
        <w:t xml:space="preserve">“significantly”</w:t>
      </w:r>
      <w:r>
        <w:t xml:space="preserve"> </w:t>
      </w:r>
      <w:r>
        <w:t xml:space="preserve">from the original claim because no significance test was run.</w:t>
      </w:r>
    </w:p>
    <w:bookmarkEnd w:id="10"/>
    <w:bookmarkStart w:id="11" w:name="r3-add-a-parametric-baseline"/>
    <w:p>
      <w:pPr>
        <w:pStyle w:val="Heading2"/>
      </w:pPr>
      <w:r>
        <w:t xml:space="preserve">R3: Add a parametric baseline</w:t>
      </w:r>
    </w:p>
    <w:p>
      <w:pPr>
        <w:pStyle w:val="FirstParagraph"/>
      </w:pPr>
      <w:r>
        <w:rPr>
          <w:b/>
          <w:bCs/>
        </w:rPr>
        <w:t xml:space="preserve">Comment.</w:t>
      </w:r>
      <w:r>
        <w:t xml:space="preserve"> </w:t>
      </w:r>
      <w:r>
        <w:t xml:space="preserve">A parametric model could be a stronger extrapolation baseline.</w:t>
      </w:r>
      <w:r>
        <w:t xml:space="preserve"> </w:t>
      </w:r>
      <w:r>
        <w:t xml:space="preserve">Can the paper establish superiority over that alternative?</w:t>
      </w:r>
    </w:p>
    <w:p>
      <w:pPr>
        <w:pStyle w:val="BodyText"/>
      </w:pPr>
      <w:r>
        <w:rPr>
          <w:b/>
          <w:bCs/>
        </w:rPr>
        <w:t xml:space="preserve">Response.</w:t>
      </w:r>
      <w:r>
        <w:t xml:space="preserve"> </w:t>
      </w:r>
      <w:r>
        <w:t xml:space="preserve">The supplied experiment does not include that comparison, so it</w:t>
      </w:r>
      <w:r>
        <w:t xml:space="preserve"> </w:t>
      </w:r>
      <w:r>
        <w:t xml:space="preserve">cannot establish such superiority. We identify the missing baseline explicitly</w:t>
      </w:r>
      <w:r>
        <w:t xml:space="preserve"> </w:t>
      </w:r>
      <w:r>
        <w:t xml:space="preserve">in Limitations and retain the narrower comparison between one and five</w:t>
      </w:r>
      <w:r>
        <w:t xml:space="preserve"> </w:t>
      </w:r>
      <w:r>
        <w:t xml:space="preserve">neighbors. We have not added a result, promised a completed run, or represented</w:t>
      </w:r>
      <w:r>
        <w:t xml:space="preserve"> </w:t>
      </w:r>
      <w:r>
        <w:t xml:space="preserve">the suggested experiment as evidence already available.</w:t>
      </w:r>
    </w:p>
    <w:bookmarkEnd w:id="11"/>
    <w:bookmarkStart w:id="12" w:name="revision-locations"/>
    <w:p>
      <w:pPr>
        <w:pStyle w:val="Heading2"/>
      </w:pPr>
      <w:r>
        <w:t xml:space="preserve">Revision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the companion manuscript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both directions; narrow robustness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Abstract; Results; 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seed-level sample SD; remove significance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 Protocol; Results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unevaluated baseline and limit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</w:tr>
    </w:tbl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Times New Roman" w:cs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 w:cs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imes New Roman" w:hAnsi="Times New Roman" w:eastAsia="Times New Roman" w:cs="Times New Roman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imes New Roman" w:hAnsi="Times New Roman" w:eastAsia="Times New Roman" w:cs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imes New Roman" w:hAnsi="Times New Roman" w:eastAsia="Times New Roman" w:cs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imes New Roman" w:hAnsi="Times New Roman" w:eastAsia="Times New Roman" w:cs="Times New Roman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Times New Roman" w:cs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Times New Roman" w:cs="Times New Roman"/>
      <w:color w:themeColor="accent1"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Times New Roman" w:cs="Times New Roman"/>
      <w:color w:themeColor="accent1"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Times New Roman" w:cs="Times New Roman"/>
      <w:color w:themeColor="accent1"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Times New Roman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Times New Roman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Times New Roman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Times New Roman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imes New Roman" w:hAnsi="Times New Roman" w:eastAsia="Times New Roman" w:cs="Times New Roman"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imes New Roman" w:hAnsi="Times New Roman" w:eastAsia="Times New Roman" w:cs="Times New Roman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 w:cs="Times New Roman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  <w:rFonts w:ascii="Times New Roman" w:hAnsi="Times New Roman" w:eastAsia="Times New Roman" w:cs="Times New Roman"/>
    </w:rPr>
  </w:style>
  <w:style w:styleId="Hyperlink" w:type="character">
    <w:name w:val="Hyperlink"/>
    <w:basedOn w:val="BodyTextChar"/>
    <w:rPr>
      <w:color w:themeColor="accent1" w:val="4F81BD"/>
      <w:rFonts w:ascii="Times New Roman" w:hAnsi="Times New Roman" w:eastAsia="Times New Roman" w:cs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  <w:rFonts w:ascii="Times New Roman" w:hAnsi="Times New Roman" w:eastAsia="Times New Roman" w:cs="Times New Roman"/>
    </w:rPr>
  </w:style>
  <w:style w:type="character" w:customStyle="1" w:styleId="DataTypeTok">
    <w:name w:val="DataTypeTok"/>
    <w:basedOn w:val="VerbatimChar"/>
    <w:rPr>
      <w:color w:val="902000"/>
      <w:rFonts w:ascii="Times New Roman" w:hAnsi="Times New Roman" w:eastAsia="Times New Roman" w:cs="Times New Roman"/>
    </w:rPr>
  </w:style>
  <w:style w:type="character" w:customStyle="1" w:styleId="DecValTok">
    <w:name w:val="DecValTok"/>
    <w:basedOn w:val="VerbatimChar"/>
    <w:rPr>
      <w:color w:val="40a070"/>
      <w:rFonts w:ascii="Times New Roman" w:hAnsi="Times New Roman" w:eastAsia="Times New Roman" w:cs="Times New Roman"/>
    </w:rPr>
  </w:style>
  <w:style w:type="character" w:customStyle="1" w:styleId="BaseNTok">
    <w:name w:val="BaseNTok"/>
    <w:basedOn w:val="VerbatimChar"/>
    <w:rPr>
      <w:color w:val="40a070"/>
      <w:rFonts w:ascii="Times New Roman" w:hAnsi="Times New Roman" w:eastAsia="Times New Roman" w:cs="Times New Roman"/>
    </w:rPr>
  </w:style>
  <w:style w:type="character" w:customStyle="1" w:styleId="FloatTok">
    <w:name w:val="FloatTok"/>
    <w:basedOn w:val="VerbatimChar"/>
    <w:rPr>
      <w:color w:val="40a070"/>
      <w:rFonts w:ascii="Times New Roman" w:hAnsi="Times New Roman" w:eastAsia="Times New Roman" w:cs="Times New Roman"/>
    </w:rPr>
  </w:style>
  <w:style w:type="character" w:customStyle="1" w:styleId="ConstantTok">
    <w:name w:val="ConstantTok"/>
    <w:basedOn w:val="VerbatimChar"/>
    <w:rPr>
      <w:color w:val="880000"/>
      <w:rFonts w:ascii="Times New Roman" w:hAnsi="Times New Roman" w:eastAsia="Times New Roman" w:cs="Times New Roman"/>
    </w:rPr>
  </w:style>
  <w:style w:type="character" w:customStyle="1" w:styleId="CharTok">
    <w:name w:val="CharTok"/>
    <w:basedOn w:val="VerbatimChar"/>
    <w:rPr>
      <w:color w:val="4070a0"/>
      <w:rFonts w:ascii="Times New Roman" w:hAnsi="Times New Roman" w:eastAsia="Times New Roman" w:cs="Times New Roman"/>
    </w:rPr>
  </w:style>
  <w:style w:type="character" w:customStyle="1" w:styleId="SpecialCharTok">
    <w:name w:val="SpecialCharTok"/>
    <w:basedOn w:val="VerbatimChar"/>
    <w:rPr>
      <w:color w:val="4070a0"/>
      <w:rFonts w:ascii="Times New Roman" w:hAnsi="Times New Roman" w:eastAsia="Times New Roman" w:cs="Times New Roman"/>
    </w:rPr>
  </w:style>
  <w:style w:type="character" w:customStyle="1" w:styleId="StringTok">
    <w:name w:val="StringTok"/>
    <w:basedOn w:val="VerbatimChar"/>
    <w:rPr>
      <w:color w:val="4070a0"/>
      <w:rFonts w:ascii="Times New Roman" w:hAnsi="Times New Roman" w:eastAsia="Times New Roman" w:cs="Times New Roman"/>
    </w:rPr>
  </w:style>
  <w:style w:type="character" w:customStyle="1" w:styleId="VerbatimStringTok">
    <w:name w:val="VerbatimStringTok"/>
    <w:basedOn w:val="VerbatimChar"/>
    <w:rPr>
      <w:color w:val="4070a0"/>
      <w:rFonts w:ascii="Times New Roman" w:hAnsi="Times New Roman" w:eastAsia="Times New Roman" w:cs="Times New Roman"/>
    </w:rPr>
  </w:style>
  <w:style w:type="character" w:customStyle="1" w:styleId="SpecialStringTok">
    <w:name w:val="SpecialStringTok"/>
    <w:basedOn w:val="VerbatimChar"/>
    <w:rPr>
      <w:color w:val="bb6688"/>
      <w:rFonts w:ascii="Times New Roman" w:hAnsi="Times New Roman" w:eastAsia="Times New Roman" w:cs="Times New Roman"/>
    </w:rPr>
  </w:style>
  <w:style w:type="character" w:customStyle="1" w:styleId="ImportTok">
    <w:name w:val="ImportTok"/>
    <w:basedOn w:val="VerbatimChar"/>
    <w:rPr>
      <w:b/>
      <w:color w:val="008000"/>
      <w:rFonts w:ascii="Times New Roman" w:hAnsi="Times New Roman" w:eastAsia="Times New Roman" w:cs="Times New Roman"/>
    </w:rPr>
  </w:style>
  <w:style w:type="character" w:customStyle="1" w:styleId="CommentTok">
    <w:name w:val="CommentTok"/>
    <w:basedOn w:val="VerbatimChar"/>
    <w:rPr>
      <w:i/>
      <w:color w:val="60a0b0"/>
      <w:rFonts w:ascii="Times New Roman" w:hAnsi="Times New Roman" w:eastAsia="Times New Roman" w:cs="Times New Roman"/>
    </w:rPr>
  </w:style>
  <w:style w:type="character" w:customStyle="1" w:styleId="DocumentationTok">
    <w:name w:val="DocumentationTok"/>
    <w:basedOn w:val="VerbatimChar"/>
    <w:rPr>
      <w:i/>
      <w:color w:val="ba2121"/>
      <w:rFonts w:ascii="Times New Roman" w:hAnsi="Times New Roman" w:eastAsia="Times New Roman" w:cs="Times New Roman"/>
    </w:rPr>
  </w:style>
  <w:style w:type="character" w:customStyle="1" w:styleId="AnnotationTok">
    <w:name w:val="AnnotationTok"/>
    <w:basedOn w:val="VerbatimChar"/>
    <w:rPr>
      <w:b/>
      <w:i/>
      <w:color w:val="60a0b0"/>
      <w:rFonts w:ascii="Times New Roman" w:hAnsi="Times New Roman" w:eastAsia="Times New Roman" w:cs="Times New Roman"/>
    </w:rPr>
  </w:style>
  <w:style w:type="character" w:customStyle="1" w:styleId="CommentVarTok">
    <w:name w:val="CommentVarTok"/>
    <w:basedOn w:val="VerbatimChar"/>
    <w:rPr>
      <w:b/>
      <w:i/>
      <w:color w:val="60a0b0"/>
      <w:rFonts w:ascii="Times New Roman" w:hAnsi="Times New Roman" w:eastAsia="Times New Roman" w:cs="Times New Roman"/>
    </w:rPr>
  </w:style>
  <w:style w:type="character" w:customStyle="1" w:styleId="OtherTok">
    <w:name w:val="OtherTok"/>
    <w:basedOn w:val="VerbatimChar"/>
    <w:rPr>
      <w:color w:val="007020"/>
      <w:rFonts w:ascii="Times New Roman" w:hAnsi="Times New Roman" w:eastAsia="Times New Roman" w:cs="Times New Roman"/>
    </w:rPr>
  </w:style>
  <w:style w:type="character" w:customStyle="1" w:styleId="FunctionTok">
    <w:name w:val="FunctionTok"/>
    <w:basedOn w:val="VerbatimChar"/>
    <w:rPr>
      <w:color w:val="06287e"/>
      <w:rFonts w:ascii="Times New Roman" w:hAnsi="Times New Roman" w:eastAsia="Times New Roman" w:cs="Times New Roman"/>
    </w:rPr>
  </w:style>
  <w:style w:type="character" w:customStyle="1" w:styleId="VariableTok">
    <w:name w:val="VariableTok"/>
    <w:basedOn w:val="VerbatimChar"/>
    <w:rPr>
      <w:color w:val="19177c"/>
      <w:rFonts w:ascii="Times New Roman" w:hAnsi="Times New Roman" w:eastAsia="Times New Roman" w:cs="Times New Roman"/>
    </w:rPr>
  </w:style>
  <w:style w:type="character" w:customStyle="1" w:styleId="ControlFlowTok">
    <w:name w:val="ControlFlowTok"/>
    <w:basedOn w:val="VerbatimChar"/>
    <w:rPr>
      <w:b/>
      <w:color w:val="007020"/>
      <w:rFonts w:ascii="Times New Roman" w:hAnsi="Times New Roman" w:eastAsia="Times New Roman" w:cs="Times New Roman"/>
    </w:rPr>
  </w:style>
  <w:style w:type="character" w:customStyle="1" w:styleId="OperatorTok">
    <w:name w:val="OperatorTok"/>
    <w:basedOn w:val="VerbatimChar"/>
    <w:rPr>
      <w:color w:val="666666"/>
      <w:rFonts w:ascii="Times New Roman" w:hAnsi="Times New Roman" w:eastAsia="Times New Roman" w:cs="Times New Roman"/>
    </w:rPr>
  </w:style>
  <w:style w:type="character" w:customStyle="1" w:styleId="BuiltInTok">
    <w:name w:val="BuiltInTok"/>
    <w:basedOn w:val="VerbatimChar"/>
    <w:rPr>
      <w:color w:val="008000"/>
      <w:rFonts w:ascii="Times New Roman" w:hAnsi="Times New Roman" w:eastAsia="Times New Roman" w:cs="Times New Roman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 w:cs="Times New Roman"/>
    </w:rPr>
  </w:style>
  <w:style w:type="character" w:customStyle="1" w:styleId="PreprocessorTok">
    <w:name w:val="PreprocessorTok"/>
    <w:basedOn w:val="VerbatimChar"/>
    <w:rPr>
      <w:color w:val="bc7a00"/>
      <w:rFonts w:ascii="Times New Roman" w:hAnsi="Times New Roman" w:eastAsia="Times New Roman" w:cs="Times New Roman"/>
    </w:rPr>
  </w:style>
  <w:style w:type="character" w:customStyle="1" w:styleId="AttributeTok">
    <w:name w:val="AttributeTok"/>
    <w:basedOn w:val="VerbatimChar"/>
    <w:rPr>
      <w:color w:val="7d9029"/>
      <w:rFonts w:ascii="Times New Roman" w:hAnsi="Times New Roman" w:eastAsia="Times New Roman" w:cs="Times New Roman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 w:cs="Times New Roman"/>
    </w:rPr>
  </w:style>
  <w:style w:type="character" w:customStyle="1" w:styleId="InformationTok">
    <w:name w:val="InformationTok"/>
    <w:basedOn w:val="VerbatimChar"/>
    <w:rPr>
      <w:b/>
      <w:i/>
      <w:color w:val="60a0b0"/>
      <w:rFonts w:ascii="Times New Roman" w:hAnsi="Times New Roman" w:eastAsia="Times New Roman" w:cs="Times New Roman"/>
    </w:rPr>
  </w:style>
  <w:style w:type="character" w:customStyle="1" w:styleId="WarningTok">
    <w:name w:val="WarningTok"/>
    <w:basedOn w:val="VerbatimChar"/>
    <w:rPr>
      <w:b/>
      <w:i/>
      <w:color w:val="60a0b0"/>
      <w:rFonts w:ascii="Times New Roman" w:hAnsi="Times New Roman" w:eastAsia="Times New Roman" w:cs="Times New Roman"/>
    </w:rPr>
  </w:style>
  <w:style w:type="character" w:customStyle="1" w:styleId="AlertTok">
    <w:name w:val="AlertTok"/>
    <w:basedOn w:val="VerbatimChar"/>
    <w:rPr>
      <w:b/>
      <w:color w:val="ff0000"/>
      <w:rFonts w:ascii="Times New Roman" w:hAnsi="Times New Roman" w:eastAsia="Times New Roman" w:cs="Times New Roman"/>
    </w:rPr>
  </w:style>
  <w:style w:type="character" w:customStyle="1" w:styleId="ErrorTok">
    <w:name w:val="ErrorTok"/>
    <w:basedOn w:val="VerbatimChar"/>
    <w:rPr>
      <w:b/>
      <w:color w:val="ff0000"/>
      <w:rFonts w:ascii="Times New Roman" w:hAnsi="Times New Roman" w:eastAsia="Times New Roman" w:cs="Times New Roman"/>
    </w:rPr>
  </w:style>
  <w:style w:type="character" w:customStyle="1" w:styleId="NormalTok">
    <w:name w:val="NormalTok"/>
    <w:basedOn w:val="VerbatimChar"/>
    <w:rPr>
      <w:rFonts w:ascii="Times New Roman" w:hAnsi="Times New Roman" w:eastAsia="Times New Roman" w:cs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ns1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Times New Roman"/>
        <a:cs typeface="Times New Roma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Times New Roman"/>
        <a:cs typeface="Times New Roman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Reviewer Response: Local Smoothing and Extrapolation</dc:title>
  <dc:creator>Super Writer worked example</dc:creator>
  <cp:keywords/>
  <dcterms:created xsi:type="dcterms:W3CDTF">2026-09-05T15:45:32Z</dcterms:created>
  <dcterms:modified xsi:type="dcterms:W3CDTF">2026-09-05T15:45:32Z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</Properties>
</file>