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 Average Is Not a Guarantee: Making Assumptions Visible</w:t>
      </w:r>
    </w:p>
    <w:p>
      <w:pPr>
        <w:pStyle w:val="Author"/>
      </w:pPr>
      <w:r>
        <w:t xml:space="preserve">Super Writer worked example</w:t>
      </w:r>
    </w:p>
    <w:p>
      <w:pPr>
        <w:pStyle w:val="Date"/>
      </w:pPr>
      <w:r>
        <w:t xml:space="preserve">September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A bound on an aggregate is easy to overstate when its assumptions disappear</w:t>
      </w:r>
      <w:r>
        <w:t xml:space="preserve"> </w:t>
      </w:r>
      <w:r>
        <w:t xml:space="preserve">between a proof and an abstract. This educational note restates the elementary</w:t>
      </w:r>
      <w:r>
        <w:t xml:space="preserve"> </w:t>
      </w:r>
      <w:r>
        <w:t xml:space="preserve">range bound for a convex combination, proves it directly, and gives a signed-</w:t>
      </w:r>
      <w:r>
        <w:t xml:space="preserve"> </w:t>
      </w:r>
      <w:r>
        <w:t xml:space="preserve">weight counterexample. Nonnegative weights that sum to one keep a weighted</w:t>
      </w:r>
      <w:r>
        <w:t xml:space="preserve"> </w:t>
      </w:r>
      <w:r>
        <w:t xml:space="preserve">average within the range of its inputs. The result does not establish that</w:t>
      </w:r>
      <w:r>
        <w:t xml:space="preserve"> </w:t>
      </w:r>
      <w:r>
        <w:t xml:space="preserve">every input is accurate, that the average is unbiased, or that a predictive</w:t>
      </w:r>
      <w:r>
        <w:t xml:space="preserve"> </w:t>
      </w:r>
      <w:r>
        <w:t xml:space="preserve">model generalizes. The purpose is to demonstrate assumption-aware theoretical</w:t>
      </w:r>
      <w:r>
        <w:t xml:space="preserve"> </w:t>
      </w:r>
      <w:r>
        <w:t xml:space="preserve">writing, not to present a new theorem or a conference submission.</w:t>
      </w:r>
    </w:p>
    <w:bookmarkStart w:id="9" w:name="the-writing-problem"/>
    <w:p>
      <w:pPr>
        <w:pStyle w:val="Heading1"/>
      </w:pPr>
      <w:r>
        <w:t xml:space="preserve">The Writing Problem</w:t>
      </w:r>
    </w:p>
    <w:p>
      <w:pPr>
        <w:pStyle w:val="FirstParagraph"/>
      </w:pPr>
      <w:r>
        <w:t xml:space="preserve">The sentence</w:t>
      </w:r>
      <w:r>
        <w:t xml:space="preserve"> </w:t>
      </w:r>
      <w:r>
        <w:t xml:space="preserve">“aggregation guarantees reliable predictions”</w:t>
      </w:r>
      <w:r>
        <w:t xml:space="preserve"> </w:t>
      </w:r>
      <w:r>
        <w:t xml:space="preserve">mixes a mathematical</w:t>
      </w:r>
      <w:r>
        <w:t xml:space="preserve"> </w:t>
      </w:r>
      <w:r>
        <w:t xml:space="preserve">property with an empirical promise. Even when an aggregate satisfies a range</w:t>
      </w:r>
      <w:r>
        <w:t xml:space="preserve"> </w:t>
      </w:r>
      <w:r>
        <w:t xml:space="preserve">bound, nothing in that bound establishes that the inputs are close to an</w:t>
      </w:r>
      <w:r>
        <w:t xml:space="preserve"> </w:t>
      </w:r>
      <w:r>
        <w:t xml:space="preserve">unknown target. The proof and the headline need to answer the same question.</w:t>
      </w:r>
    </w:p>
    <w:p>
      <w:pPr>
        <w:pStyle w:val="BodyText"/>
      </w:pPr>
      <w:r>
        <w:t xml:space="preserve">We use a convex combination, a standard object in convex analysis</w:t>
      </w:r>
      <w:r>
        <w:t xml:space="preserve"> </w:t>
      </w:r>
      <w:r>
        <w:t xml:space="preserve">(Boyd and Vandenberghe 2004)</w:t>
      </w:r>
      <w:r>
        <w:t xml:space="preserve">, to separate the two statements. The argument below is written</w:t>
      </w:r>
      <w:r>
        <w:t xml:space="preserve"> </w:t>
      </w:r>
      <w:r>
        <w:t xml:space="preserve">independently for this example. It is elementary and carries no novelty claim.</w:t>
      </w:r>
    </w:p>
    <w:bookmarkEnd w:id="9"/>
    <w:bookmarkStart w:id="10" w:name="setting-and-proposition"/>
    <w:p>
      <w:pPr>
        <w:pStyle w:val="Heading1"/>
      </w:pPr>
      <w:r>
        <w:t xml:space="preserve">Setting and Proposition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with finite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 Let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 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Define the aggregate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Proposition.</w:t>
      </w:r>
      <w:r>
        <w:t xml:space="preserve"> </w:t>
      </w:r>
      <w:r>
        <w:t xml:space="preserve">Under these assumptions,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i</m:t>
              </m:r>
            </m:lim>
          </m:limLow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≤</m:t>
          </m:r>
          <m:r>
            <m:t> </m:t>
          </m:r>
          <m:acc>
            <m:accPr>
              <m:chr m:val="‾"/>
            </m:accPr>
            <m:e>
              <m:r>
                <m:t>y</m:t>
              </m:r>
            </m:e>
          </m:acc>
          <m:r>
            <m:t> </m:t>
          </m:r>
          <m:r>
            <m:rPr>
              <m:sty m:val="p"/>
            </m:rPr>
            <m:t>≤</m:t>
          </m:r>
          <m:r>
            <m:t> 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</m:lim>
          </m:limLow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statement is deterministic. It does not assume a training distribution,</w:t>
      </w:r>
      <w:r>
        <w:t xml:space="preserve"> </w:t>
      </w:r>
      <w:r>
        <w:t xml:space="preserve">sampling independence, or a probabilistic model. Conversely, it does not</w:t>
      </w:r>
      <w:r>
        <w:t xml:space="preserve"> </w:t>
      </w:r>
      <w:r>
        <w:t xml:space="preserve">provide any conclusion about those quantities.</w:t>
      </w:r>
    </w:p>
    <w:bookmarkEnd w:id="10"/>
    <w:bookmarkStart w:id="11" w:name="proof-and-assumption-use"/>
    <w:p>
      <w:pPr>
        <w:pStyle w:val="Heading1"/>
      </w:pPr>
      <w:r>
        <w:t xml:space="preserve">Proof and Assumption Use</w:t>
      </w:r>
    </w:p>
    <w:p>
      <w:pPr>
        <w:pStyle w:val="FirstParagraph"/>
      </w:pPr>
      <w:r>
        <w:t xml:space="preserve">Write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 For every index,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M</m:t>
        </m:r>
      </m:oMath>
      <w:r>
        <w:t xml:space="preserve">. Since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nonnegative, multiplication preserves</w:t>
      </w:r>
      <w:r>
        <w:t xml:space="preserve"> </w:t>
      </w:r>
      <w:r>
        <w:t xml:space="preserve">both inequalities: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t>m</m:t>
        </m:r>
        <m:r>
          <m:rPr>
            <m:sty m:val="p"/>
          </m:rPr>
          <m:t>≤</m:t>
        </m:r>
        <m:sSub>
          <m:e>
            <m:r>
              <m:t>w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t>M</m:t>
        </m:r>
      </m:oMath>
      <w:r>
        <w:t xml:space="preserve">. Summing over indices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 </m:t>
          </m:r>
          <m:r>
            <m:rPr>
              <m:sty m:val="p"/>
            </m:rPr>
            <m:t>≤</m:t>
          </m:r>
          <m:r>
            <m:t> 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≤</m:t>
          </m:r>
          <m:r>
            <m:t> </m:t>
          </m:r>
          <m:r>
            <m:t>M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Normalization,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, gives the claimed interval. This identifies</w:t>
      </w:r>
      <w:r>
        <w:t xml:space="preserve"> </w:t>
      </w:r>
      <w:r>
        <w:t xml:space="preserve">where each assumption enters: nonnegativity preserves order, while</w:t>
      </w:r>
      <w:r>
        <w:t xml:space="preserve"> </w:t>
      </w:r>
      <w:r>
        <w:t xml:space="preserve">normalization returns the bounds to the original scale.</w:t>
      </w:r>
    </w:p>
    <w:p>
      <w:pPr>
        <w:pStyle w:val="BodyText"/>
      </w:pPr>
      <w:r>
        <w:t xml:space="preserve">For unnormalized nonnegative weights with positive total</w:t>
      </w:r>
      <w:r>
        <w:t xml:space="preserve"> </w:t>
      </w:r>
      <m:oMath>
        <m:r>
          <m:t>W</m:t>
        </m:r>
      </m:oMath>
      <w:r>
        <w:t xml:space="preserve">, the same</w:t>
      </w:r>
      <w:r>
        <w:t xml:space="preserve"> </w:t>
      </w:r>
      <w:r>
        <w:t xml:space="preserve">argument applies to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W</m:t>
        </m:r>
      </m:oMath>
      <w:r>
        <w:t xml:space="preserve">, and hence to</w:t>
      </w:r>
      <w:r>
        <w:t xml:space="preserve"> </w:t>
      </w:r>
      <m:oMath>
        <m:r>
          <m:rPr>
            <m:sty m:val="p"/>
          </m:rPr>
          <m:t>(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W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that expression is undefined. Dropping the denominator is not an</w:t>
      </w:r>
      <w:r>
        <w:t xml:space="preserve"> </w:t>
      </w:r>
      <w:r>
        <w:t xml:space="preserve">equivalent estimator and does not inherit the same range bound.</w:t>
      </w:r>
    </w:p>
    <w:bookmarkEnd w:id="11"/>
    <w:bookmarkStart w:id="12" w:name="counterexamples-to-broader-claims"/>
    <w:p>
      <w:pPr>
        <w:pStyle w:val="Heading1"/>
      </w:pPr>
      <w:r>
        <w:t xml:space="preserve">Counterexamples to Broader Claims</w:t>
      </w:r>
    </w:p>
    <w:p>
      <w:pPr>
        <w:pStyle w:val="FirstParagraph"/>
      </w:pPr>
      <w:r>
        <w:t xml:space="preserve">Normalization alone is insufficient. Take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 The weights sum to one, but the aggregate is 2,</w:t>
      </w:r>
      <w:r>
        <w:t xml:space="preserve"> </w:t>
      </w:r>
      <w:r>
        <w:t xml:space="preserve">outside the input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Negative weights invalidate the order</w:t>
      </w:r>
      <w:r>
        <w:t xml:space="preserve"> </w:t>
      </w:r>
      <w:r>
        <w:t xml:space="preserve">argument in the proof. A manuscript cannot omit nonnegativity while retaining</w:t>
      </w:r>
      <w:r>
        <w:t xml:space="preserve"> </w:t>
      </w:r>
      <w:r>
        <w:t xml:space="preserve">the proposition unchanged.</w:t>
      </w:r>
    </w:p>
    <w:p>
      <w:pPr>
        <w:pStyle w:val="BodyText"/>
      </w:pPr>
      <w:r>
        <w:t xml:space="preserve">Nor does the range bound imply accuracy. Suppose two predictors both output</w:t>
      </w:r>
      <w:r>
        <w:t xml:space="preserve"> </w:t>
      </w:r>
      <w:r>
        <w:t xml:space="preserve">100 when the true value is 0. Every convex combination of those outputs</w:t>
      </w:r>
      <w:r>
        <w:t xml:space="preserve"> </w:t>
      </w:r>
      <w:r>
        <w:t xml:space="preserve">remains 100. The proposition holds exactly, yet the squared error is 10000.</w:t>
      </w:r>
      <w:r>
        <w:t xml:space="preserve"> </w:t>
      </w:r>
      <w:r>
        <w:t xml:space="preserve">There is no contradiction: containment and accuracy are different properties.</w:t>
      </w:r>
    </w:p>
    <w:p>
      <w:pPr>
        <w:pStyle w:val="BodyText"/>
      </w:pPr>
      <w:r>
        <w:t xml:space="preserve">The example also gives no guarantee of unbiasedness. Bias requires a target</w:t>
      </w:r>
      <w:r>
        <w:t xml:space="preserve"> </w:t>
      </w:r>
      <w:r>
        <w:t xml:space="preserve">and an expectation under a specified distribution, neither of which appears</w:t>
      </w:r>
      <w:r>
        <w:t xml:space="preserve"> </w:t>
      </w:r>
      <w:r>
        <w:t xml:space="preserve">in the proposition. A paper claiming such a guarantee would need additional</w:t>
      </w:r>
      <w:r>
        <w:t xml:space="preserve"> </w:t>
      </w:r>
      <w:r>
        <w:t xml:space="preserve">assumptions and a separate argument.</w:t>
      </w:r>
    </w:p>
    <w:bookmarkEnd w:id="12"/>
    <w:bookmarkStart w:id="13" w:name="verification-and-limits"/>
    <w:p>
      <w:pPr>
        <w:pStyle w:val="Heading1"/>
      </w:pPr>
      <w:r>
        <w:t xml:space="preserve">Verification and Limits</w:t>
      </w:r>
    </w:p>
    <w:p>
      <w:pPr>
        <w:pStyle w:val="FirstParagraph"/>
      </w:pPr>
      <w:r>
        <w:t xml:space="preserve">The repository tests finite rational examples using exact arithmetic and</w:t>
      </w:r>
      <w:r>
        <w:t xml:space="preserve"> </w:t>
      </w:r>
      <w:r>
        <w:t xml:space="preserve">checks the counterexamples numerically. Those tests are useful for catching</w:t>
      </w:r>
      <w:r>
        <w:t xml:space="preserve"> </w:t>
      </w:r>
      <w:r>
        <w:t xml:space="preserve">transcription mistakes; they do not prove the proposition for all real inputs.</w:t>
      </w:r>
      <w:r>
        <w:t xml:space="preserve"> </w:t>
      </w:r>
      <w:r>
        <w:t xml:space="preserve">The proof above supplies that argument. This distinction is the theoretical</w:t>
      </w:r>
      <w:r>
        <w:t xml:space="preserve"> </w:t>
      </w:r>
      <w:r>
        <w:t xml:space="preserve">analogue of separating a measured result from a universal empirical claim.</w:t>
      </w:r>
    </w:p>
    <w:p>
      <w:pPr>
        <w:pStyle w:val="BodyText"/>
      </w:pPr>
      <w:r>
        <w:t xml:space="preserve">This note contains no new aggregation method, empirical benchmark, formal</w:t>
      </w:r>
      <w:r>
        <w:t xml:space="preserve"> </w:t>
      </w:r>
      <w:r>
        <w:t xml:space="preserve">proof-assistant verification, or peer-review outcome. It was authored with AI</w:t>
      </w:r>
      <w:r>
        <w:t xml:space="preserve"> </w:t>
      </w:r>
      <w:r>
        <w:t xml:space="preserve">assistance as an open writing example. Its scientific scope is the stated</w:t>
      </w:r>
      <w:r>
        <w:t xml:space="preserve"> </w:t>
      </w:r>
      <w:r>
        <w:t xml:space="preserve">elementary inequality and the demonstrated limits of its interpretation.</w:t>
      </w:r>
    </w:p>
    <w:bookmarkEnd w:id="13"/>
    <w:bookmarkStart w:id="17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defensible headline is that nonnegative normalized aggregation preserves</w:t>
      </w:r>
      <w:r>
        <w:t xml:space="preserve"> </w:t>
      </w:r>
      <w:r>
        <w:t xml:space="preserve">the input range. Reliability, accuracy, and generalization are not consequences</w:t>
      </w:r>
      <w:r>
        <w:t xml:space="preserve"> </w:t>
      </w:r>
      <w:r>
        <w:t xml:space="preserve">of that statement alone. A theoretical manuscript should keep the assumptions</w:t>
      </w:r>
      <w:r>
        <w:t xml:space="preserve"> </w:t>
      </w:r>
      <w:r>
        <w:t xml:space="preserve">that make its claim true visible in the abstract, proposition, and interpretation.</w:t>
      </w:r>
    </w:p>
    <w:bookmarkStart w:id="16" w:name="refs"/>
    <w:bookmarkStart w:id="15" w:name="ref-boyd2004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4">
        <w:r>
          <w:rPr>
            <w:rStyle w:val="Hyperlink"/>
          </w:rPr>
          <w:t xml:space="preserve">https://web.stanford.edu/~boyd/cvxbook/</w:t>
        </w:r>
      </w:hyperlink>
      <w:r>
        <w:t xml:space="preserve">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Times New Roman" w:cs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Times New Roman" w:cs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Times New Roman" w:cs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Times New Roman" w:cs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Times New Roman" w:cs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  <w:rFonts w:ascii="Times New Roman" w:hAnsi="Times New Roman" w:eastAsia="Times New Roman" w:cs="Times New Roman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  <w:rFonts w:ascii="Times New Roman" w:hAnsi="Times New Roman" w:eastAsia="Times New Roman" w:cs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rFonts w:ascii="Times New Roman" w:hAnsi="Times New Roman" w:eastAsia="Times New Roman" w:cs="Times New Roma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Times New Roman" w:hAnsi="Times New Roman" w:eastAsia="Times New Roman" w:cs="Times New Roman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Times New Roman" w:cs="Times New Roma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Times New Roman" w:cs="Times New Roman"/>
      <w:color w:themeColor="accent1" w:themeShade="BF"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Times New Roman" w:cs="Times New Roman"/>
      <w:color w:themeColor="accent1" w:themeShade="BF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Times New Roman" w:cs="Times New Roman"/>
      <w:color w:themeColor="accent1" w:themeShade="BF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Times New Roman" w:cs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Times New Roman" w:cs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Times New Roman" w:cs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Times New Roman" w:cs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Times New Roman" w:cs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Times New Roman" w:cs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Times New Roman" w:hAnsi="Times New Roman" w:eastAsia="Times New Roman" w:cs="Times New Roman"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Times New Roman" w:hAnsi="Times New Roman" w:eastAsia="Times New Roman" w:cs="Times New Roman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Times New Roman" w:cs="Times New Roman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 w:eastAsia="Times New Roman" w:cs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  <w:rFonts w:ascii="Times New Roman" w:hAnsi="Times New Roman" w:eastAsia="Times New Roman" w:cs="Times New Roman"/>
    </w:rPr>
  </w:style>
  <w:style w:styleId="Hyperlink" w:type="character">
    <w:name w:val="Hyperlink"/>
    <w:basedOn w:val="BodyTextChar"/>
    <w:rPr>
      <w:color w:themeColor="accent1" w:val="4F81BD"/>
      <w:rFonts w:ascii="Times New Roman" w:hAnsi="Times New Roman" w:eastAsia="Times New Roman" w:cs="Times New Roma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  <w:rFonts w:ascii="Times New Roman" w:hAnsi="Times New Roman" w:eastAsia="Times New Roman" w:cs="Times New Roman"/>
    </w:rPr>
  </w:style>
  <w:style w:type="character" w:customStyle="1" w:styleId="DataTypeTok">
    <w:name w:val="DataTypeTok"/>
    <w:basedOn w:val="VerbatimChar"/>
    <w:rPr>
      <w:color w:val="902000"/>
      <w:rFonts w:ascii="Times New Roman" w:hAnsi="Times New Roman" w:eastAsia="Times New Roman" w:cs="Times New Roman"/>
    </w:rPr>
  </w:style>
  <w:style w:type="character" w:customStyle="1" w:styleId="DecValTok">
    <w:name w:val="DecValTok"/>
    <w:basedOn w:val="VerbatimChar"/>
    <w:rPr>
      <w:color w:val="40a070"/>
      <w:rFonts w:ascii="Times New Roman" w:hAnsi="Times New Roman" w:eastAsia="Times New Roman" w:cs="Times New Roman"/>
    </w:rPr>
  </w:style>
  <w:style w:type="character" w:customStyle="1" w:styleId="BaseNTok">
    <w:name w:val="BaseNTok"/>
    <w:basedOn w:val="VerbatimChar"/>
    <w:rPr>
      <w:color w:val="40a070"/>
      <w:rFonts w:ascii="Times New Roman" w:hAnsi="Times New Roman" w:eastAsia="Times New Roman" w:cs="Times New Roman"/>
    </w:rPr>
  </w:style>
  <w:style w:type="character" w:customStyle="1" w:styleId="FloatTok">
    <w:name w:val="FloatTok"/>
    <w:basedOn w:val="VerbatimChar"/>
    <w:rPr>
      <w:color w:val="40a070"/>
      <w:rFonts w:ascii="Times New Roman" w:hAnsi="Times New Roman" w:eastAsia="Times New Roman" w:cs="Times New Roman"/>
    </w:rPr>
  </w:style>
  <w:style w:type="character" w:customStyle="1" w:styleId="ConstantTok">
    <w:name w:val="ConstantTok"/>
    <w:basedOn w:val="VerbatimChar"/>
    <w:rPr>
      <w:color w:val="880000"/>
      <w:rFonts w:ascii="Times New Roman" w:hAnsi="Times New Roman" w:eastAsia="Times New Roman" w:cs="Times New Roman"/>
    </w:rPr>
  </w:style>
  <w:style w:type="character" w:customStyle="1" w:styleId="CharTok">
    <w:name w:val="CharTok"/>
    <w:basedOn w:val="VerbatimChar"/>
    <w:rPr>
      <w:color w:val="4070a0"/>
      <w:rFonts w:ascii="Times New Roman" w:hAnsi="Times New Roman" w:eastAsia="Times New Roman" w:cs="Times New Roman"/>
    </w:rPr>
  </w:style>
  <w:style w:type="character" w:customStyle="1" w:styleId="SpecialCharTok">
    <w:name w:val="SpecialCharTok"/>
    <w:basedOn w:val="VerbatimChar"/>
    <w:rPr>
      <w:color w:val="4070a0"/>
      <w:rFonts w:ascii="Times New Roman" w:hAnsi="Times New Roman" w:eastAsia="Times New Roman" w:cs="Times New Roman"/>
    </w:rPr>
  </w:style>
  <w:style w:type="character" w:customStyle="1" w:styleId="StringTok">
    <w:name w:val="StringTok"/>
    <w:basedOn w:val="VerbatimChar"/>
    <w:rPr>
      <w:color w:val="4070a0"/>
      <w:rFonts w:ascii="Times New Roman" w:hAnsi="Times New Roman" w:eastAsia="Times New Roman" w:cs="Times New Roman"/>
    </w:rPr>
  </w:style>
  <w:style w:type="character" w:customStyle="1" w:styleId="VerbatimStringTok">
    <w:name w:val="VerbatimStringTok"/>
    <w:basedOn w:val="VerbatimChar"/>
    <w:rPr>
      <w:color w:val="4070a0"/>
      <w:rFonts w:ascii="Times New Roman" w:hAnsi="Times New Roman" w:eastAsia="Times New Roman" w:cs="Times New Roman"/>
    </w:rPr>
  </w:style>
  <w:style w:type="character" w:customStyle="1" w:styleId="SpecialStringTok">
    <w:name w:val="SpecialStringTok"/>
    <w:basedOn w:val="VerbatimChar"/>
    <w:rPr>
      <w:color w:val="bb6688"/>
      <w:rFonts w:ascii="Times New Roman" w:hAnsi="Times New Roman" w:eastAsia="Times New Roman" w:cs="Times New Roman"/>
    </w:rPr>
  </w:style>
  <w:style w:type="character" w:customStyle="1" w:styleId="ImportTok">
    <w:name w:val="ImportTok"/>
    <w:basedOn w:val="VerbatimChar"/>
    <w:rPr>
      <w:b/>
      <w:color w:val="008000"/>
      <w:rFonts w:ascii="Times New Roman" w:hAnsi="Times New Roman" w:eastAsia="Times New Roman" w:cs="Times New Roman"/>
    </w:rPr>
  </w:style>
  <w:style w:type="character" w:customStyle="1" w:styleId="CommentTok">
    <w:name w:val="CommentTok"/>
    <w:basedOn w:val="VerbatimChar"/>
    <w:rPr>
      <w:i/>
      <w:color w:val="60a0b0"/>
      <w:rFonts w:ascii="Times New Roman" w:hAnsi="Times New Roman" w:eastAsia="Times New Roman" w:cs="Times New Roman"/>
    </w:rPr>
  </w:style>
  <w:style w:type="character" w:customStyle="1" w:styleId="DocumentationTok">
    <w:name w:val="DocumentationTok"/>
    <w:basedOn w:val="VerbatimChar"/>
    <w:rPr>
      <w:i/>
      <w:color w:val="ba2121"/>
      <w:rFonts w:ascii="Times New Roman" w:hAnsi="Times New Roman" w:eastAsia="Times New Roman" w:cs="Times New Roman"/>
    </w:rPr>
  </w:style>
  <w:style w:type="character" w:customStyle="1" w:styleId="AnnotationTok">
    <w:name w:val="AnnotationTok"/>
    <w:basedOn w:val="VerbatimChar"/>
    <w:rPr>
      <w:b/>
      <w:i/>
      <w:color w:val="60a0b0"/>
      <w:rFonts w:ascii="Times New Roman" w:hAnsi="Times New Roman" w:eastAsia="Times New Roman" w:cs="Times New Roman"/>
    </w:rPr>
  </w:style>
  <w:style w:type="character" w:customStyle="1" w:styleId="CommentVarTok">
    <w:name w:val="CommentVarTok"/>
    <w:basedOn w:val="VerbatimChar"/>
    <w:rPr>
      <w:b/>
      <w:i/>
      <w:color w:val="60a0b0"/>
      <w:rFonts w:ascii="Times New Roman" w:hAnsi="Times New Roman" w:eastAsia="Times New Roman" w:cs="Times New Roman"/>
    </w:rPr>
  </w:style>
  <w:style w:type="character" w:customStyle="1" w:styleId="OtherTok">
    <w:name w:val="OtherTok"/>
    <w:basedOn w:val="VerbatimChar"/>
    <w:rPr>
      <w:color w:val="007020"/>
      <w:rFonts w:ascii="Times New Roman" w:hAnsi="Times New Roman" w:eastAsia="Times New Roman" w:cs="Times New Roman"/>
    </w:rPr>
  </w:style>
  <w:style w:type="character" w:customStyle="1" w:styleId="FunctionTok">
    <w:name w:val="FunctionTok"/>
    <w:basedOn w:val="VerbatimChar"/>
    <w:rPr>
      <w:color w:val="06287e"/>
      <w:rFonts w:ascii="Times New Roman" w:hAnsi="Times New Roman" w:eastAsia="Times New Roman" w:cs="Times New Roman"/>
    </w:rPr>
  </w:style>
  <w:style w:type="character" w:customStyle="1" w:styleId="VariableTok">
    <w:name w:val="VariableTok"/>
    <w:basedOn w:val="VerbatimChar"/>
    <w:rPr>
      <w:color w:val="19177c"/>
      <w:rFonts w:ascii="Times New Roman" w:hAnsi="Times New Roman" w:eastAsia="Times New Roman" w:cs="Times New Roman"/>
    </w:rPr>
  </w:style>
  <w:style w:type="character" w:customStyle="1" w:styleId="ControlFlowTok">
    <w:name w:val="ControlFlowTok"/>
    <w:basedOn w:val="VerbatimChar"/>
    <w:rPr>
      <w:b/>
      <w:color w:val="007020"/>
      <w:rFonts w:ascii="Times New Roman" w:hAnsi="Times New Roman" w:eastAsia="Times New Roman" w:cs="Times New Roman"/>
    </w:rPr>
  </w:style>
  <w:style w:type="character" w:customStyle="1" w:styleId="OperatorTok">
    <w:name w:val="OperatorTok"/>
    <w:basedOn w:val="VerbatimChar"/>
    <w:rPr>
      <w:color w:val="666666"/>
      <w:rFonts w:ascii="Times New Roman" w:hAnsi="Times New Roman" w:eastAsia="Times New Roman" w:cs="Times New Roman"/>
    </w:rPr>
  </w:style>
  <w:style w:type="character" w:customStyle="1" w:styleId="BuiltInTok">
    <w:name w:val="BuiltInTok"/>
    <w:basedOn w:val="VerbatimChar"/>
    <w:rPr>
      <w:color w:val="008000"/>
      <w:rFonts w:ascii="Times New Roman" w:hAnsi="Times New Roman" w:eastAsia="Times New Roman" w:cs="Times New Roman"/>
    </w:rPr>
  </w:style>
  <w:style w:type="character" w:customStyle="1" w:styleId="ExtensionTok">
    <w:name w:val="ExtensionTok"/>
    <w:basedOn w:val="VerbatimChar"/>
    <w:rPr>
      <w:rFonts w:ascii="Times New Roman" w:hAnsi="Times New Roman" w:eastAsia="Times New Roman" w:cs="Times New Roman"/>
    </w:rPr>
  </w:style>
  <w:style w:type="character" w:customStyle="1" w:styleId="PreprocessorTok">
    <w:name w:val="PreprocessorTok"/>
    <w:basedOn w:val="VerbatimChar"/>
    <w:rPr>
      <w:color w:val="bc7a00"/>
      <w:rFonts w:ascii="Times New Roman" w:hAnsi="Times New Roman" w:eastAsia="Times New Roman" w:cs="Times New Roman"/>
    </w:rPr>
  </w:style>
  <w:style w:type="character" w:customStyle="1" w:styleId="AttributeTok">
    <w:name w:val="AttributeTok"/>
    <w:basedOn w:val="VerbatimChar"/>
    <w:rPr>
      <w:color w:val="7d9029"/>
      <w:rFonts w:ascii="Times New Roman" w:hAnsi="Times New Roman" w:eastAsia="Times New Roman" w:cs="Times New Roman"/>
    </w:rPr>
  </w:style>
  <w:style w:type="character" w:customStyle="1" w:styleId="RegionMarkerTok">
    <w:name w:val="RegionMarkerTok"/>
    <w:basedOn w:val="VerbatimChar"/>
    <w:rPr>
      <w:rFonts w:ascii="Times New Roman" w:hAnsi="Times New Roman" w:eastAsia="Times New Roman" w:cs="Times New Roman"/>
    </w:rPr>
  </w:style>
  <w:style w:type="character" w:customStyle="1" w:styleId="InformationTok">
    <w:name w:val="InformationTok"/>
    <w:basedOn w:val="VerbatimChar"/>
    <w:rPr>
      <w:b/>
      <w:i/>
      <w:color w:val="60a0b0"/>
      <w:rFonts w:ascii="Times New Roman" w:hAnsi="Times New Roman" w:eastAsia="Times New Roman" w:cs="Times New Roman"/>
    </w:rPr>
  </w:style>
  <w:style w:type="character" w:customStyle="1" w:styleId="WarningTok">
    <w:name w:val="WarningTok"/>
    <w:basedOn w:val="VerbatimChar"/>
    <w:rPr>
      <w:b/>
      <w:i/>
      <w:color w:val="60a0b0"/>
      <w:rFonts w:ascii="Times New Roman" w:hAnsi="Times New Roman" w:eastAsia="Times New Roman" w:cs="Times New Roman"/>
    </w:rPr>
  </w:style>
  <w:style w:type="character" w:customStyle="1" w:styleId="AlertTok">
    <w:name w:val="AlertTok"/>
    <w:basedOn w:val="VerbatimChar"/>
    <w:rPr>
      <w:b/>
      <w:color w:val="ff0000"/>
      <w:rFonts w:ascii="Times New Roman" w:hAnsi="Times New Roman" w:eastAsia="Times New Roman" w:cs="Times New Roman"/>
    </w:rPr>
  </w:style>
  <w:style w:type="character" w:customStyle="1" w:styleId="ErrorTok">
    <w:name w:val="ErrorTok"/>
    <w:basedOn w:val="VerbatimChar"/>
    <w:rPr>
      <w:b/>
      <w:color w:val="ff0000"/>
      <w:rFonts w:ascii="Times New Roman" w:hAnsi="Times New Roman" w:eastAsia="Times New Roman" w:cs="Times New Roman"/>
    </w:rPr>
  </w:style>
  <w:style w:type="character" w:customStyle="1" w:styleId="NormalTok">
    <w:name w:val="NormalTok"/>
    <w:basedOn w:val="VerbatimChar"/>
    <w:rPr>
      <w:rFonts w:ascii="Times New Roman" w:hAnsi="Times New Roman" w:eastAsia="Times New Roman" w:cs="Times New Roma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web.stanford.edu/~boyd/cvxbook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web.stanford.edu/~boyd/cvxbook/" TargetMode="External" /></Relationships>
</file>

<file path=word/theme/theme1.xml><?xml version="1.0" encoding="utf-8"?>
<a:theme xmlns:a="http://schemas.openxmlformats.org/drawingml/2006/main" xmlns:ns1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Times New Roman"/>
        <a:cs typeface="Times New Roman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Times New Roman"/>
        <a:cs typeface="Times New Roman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ns1:themeFamily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 Average Is Not a Guarantee: Making Assumptions Visible</dc:title>
  <dc:creator>Super Writer worked example</dc:creator>
  <cp:keywords/>
  <dcterms:created xsi:type="dcterms:W3CDTF">2026-09-05T14:59:54Z</dcterms:created>
  <dcterms:modified xsi:type="dcterms:W3CDTF">2026-09-05T14:59:54Z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bound on an aggregate is easy to overstate when its assumptions disappear between a proof and an abstract. This educational note restates the elementary range bound for a convex combination, proves it directly, and gives a signed- weight counterexample. Nonnegative weights that sum to one keep a weighted average within the range of its inputs. The result does not establish that every input is accurate, that the average is unbiased, or that a predictive model generalizes. The purpose is to demonstrate assumption-aware theoretical writing, not to present a new theorem or a conference submission.</vt:lpwstr>
  </property>
  <property fmtid="{D5CDD505-2E9C-101B-9397-08002B2CF9AE}" pid="3" name="bibliography">
    <vt:lpwstr>references.bib</vt:lpwstr>
  </property>
  <property fmtid="{D5CDD505-2E9C-101B-9397-08002B2CF9AE}" pid="4" name="date">
    <vt:lpwstr>September 2026</vt:lpwstr>
  </property>
</Properties>
</file>