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rFonts w:ascii="Arial" w:hAnsi="Arial"/>
          <w:b/>
          <w:color w:val="0F172A"/>
          <w:sz w:val="36"/>
        </w:rPr>
        <w:t>ASIM KUMAR</w:t>
      </w:r>
    </w:p>
    <w:p>
      <w:pPr>
        <w:spacing w:before="0" w:after="60"/>
        <w:jc w:val="center"/>
      </w:pPr>
      <w:r>
        <w:rPr>
          <w:rFonts w:ascii="Arial" w:hAnsi="Arial"/>
          <w:b/>
          <w:color w:val="0E7490"/>
          <w:sz w:val="20"/>
        </w:rPr>
        <w:t>Technical Product Manager Candidate | Product Owner | Systems Engineer</w:t>
      </w:r>
    </w:p>
    <w:p>
      <w:pPr>
        <w:spacing w:before="0" w:after="120"/>
        <w:jc w:val="center"/>
      </w:pPr>
      <w:r>
        <w:rPr>
          <w:rFonts w:ascii="Arial" w:hAnsi="Arial"/>
          <w:color w:val="475569"/>
          <w:sz w:val="17"/>
        </w:rPr>
        <w:t xml:space="preserve">Gurugram, Haryana, India  •  +91 98177 53425  •  </w:t>
      </w:r>
      <w:hyperlink r:id="rId9" w:history="1">
        <w:r>
          <w:rPr>
            <w:rFonts w:ascii="Arial" w:hAnsi="Arial"/>
            <w:color w:val="0E7490"/>
            <w:sz w:val="17"/>
          </w:rPr>
          <w:t xml:space="preserve">asimkumar613@gmail.com</w:t>
        </w:r>
      </w:hyperlink>
      <w:r>
        <w:rPr>
          <w:rFonts w:ascii="Arial" w:hAnsi="Arial"/>
          <w:color w:val="475569"/>
          <w:sz w:val="17"/>
        </w:rPr>
        <w:br/>
        <w:t xml:space="preserve">Portfolio: </w:t>
      </w:r>
      <w:hyperlink r:id="rId10" w:history="1">
        <w:r>
          <w:rPr>
            <w:rFonts w:ascii="Arial" w:hAnsi="Arial"/>
            <w:color w:val="0E7490"/>
            <w:u w:val="single"/>
            <w:sz w:val="17"/>
          </w:rPr>
          <w:t xml:space="preserve">github.com/asimk714/asim-portfolio</w:t>
        </w:r>
      </w:hyperlink>
      <w:r>
        <w:rPr>
          <w:rFonts w:ascii="Arial" w:hAnsi="Arial"/>
          <w:color w:val="475569"/>
          <w:sz w:val="17"/>
        </w:rPr>
        <w:t xml:space="preserve">  •  LinkedIn: </w:t>
      </w:r>
      <w:hyperlink r:id="rId11" w:history="1">
        <w:r>
          <w:rPr>
            <w:rFonts w:ascii="Arial" w:hAnsi="Arial"/>
            <w:color w:val="0E7490"/>
            <w:u w:val="single"/>
            <w:sz w:val="17"/>
          </w:rPr>
          <w:t xml:space="preserve">linkedin.com/in/asim-kumar-b69558188</w:t>
        </w:r>
      </w:hyperlink>
      <w:r>
        <w:rPr>
          <w:rFonts w:ascii="Arial" w:hAnsi="Arial"/>
          <w:color w:val="475569"/>
          <w:sz w:val="17"/>
        </w:rPr>
        <w:t xml:space="preserve">  •  GitHub: </w:t>
      </w:r>
      <w:hyperlink r:id="rId12" w:history="1">
        <w:r>
          <w:rPr>
            <w:rFonts w:ascii="Arial" w:hAnsi="Arial"/>
            <w:color w:val="0E7490"/>
            <w:u w:val="single"/>
            <w:sz w:val="17"/>
          </w:rPr>
          <w:t xml:space="preserve">github.com/asimk714</w:t>
        </w:r>
      </w:hyperlink>
    </w:p>
    <w:p>
      <w:pPr>
        <w:keepNext/>
        <w:spacing w:before="160" w:after="40"/>
        <w:pBdr>
          <w:bottom w:val="single" w:sz="6" w:space="2" w:color="0E7490"/>
        </w:pBdr>
      </w:pPr>
      <w:r>
        <w:rPr>
          <w:rFonts w:ascii="Arial" w:hAnsi="Arial"/>
          <w:b/>
          <w:color w:val="0E7490"/>
          <w:sz w:val="19"/>
        </w:rPr>
        <w:t>PROFESSIONAL SUMMARY</w:t>
      </w:r>
    </w:p>
    <w:p>
      <w:pPr>
        <w:spacing w:before="40" w:after="80"/>
      </w:pPr>
      <w:r>
        <w:rPr>
          <w:rFonts w:ascii="Arial" w:hAnsi="Arial"/>
          <w:sz w:val="18"/>
        </w:rPr>
        <w:t>Product-minded engineer transitioning into Product Management, offering 6+ years of technical systems execution in telecom network infrastructure combined with formal Executive Product Management training from IIM Tiruchirappalli. Demonstrated end-to-end product thinking across 3 flagship implementations (ReviewFlow, Unrot, Experiment Tracker) and 7 supporting product teardowns—authoring PRDs, Gherkin acceptance criteria, RICE/MoSCoW prioritization frameworks, automated verification suites, and interactive prototypes. Proven ability to translate ambiguous operational problems into structured technical execution, coordinate cross-functional engineering teams, and design AI workflows with rigorous evaluation and anti-hallucination guardrails.</w:t>
      </w:r>
    </w:p>
    <w:p>
      <w:pPr>
        <w:keepNext/>
        <w:spacing w:before="160" w:after="40"/>
        <w:pBdr>
          <w:bottom w:val="single" w:sz="6" w:space="2" w:color="0E7490"/>
        </w:pBdr>
      </w:pPr>
      <w:r>
        <w:rPr>
          <w:rFonts w:ascii="Arial" w:hAnsi="Arial"/>
          <w:b/>
          <w:color w:val="0E7490"/>
          <w:sz w:val="19"/>
        </w:rPr>
        <w:t>CORE PRODUCT &amp; TECHNICAL COMPETENCIES</w:t>
      </w:r>
    </w:p>
    <w:p>
      <w:pPr>
        <w:pStyle w:val="ListBullet"/>
        <w:spacing w:before="20" w:after="20"/>
      </w:pPr>
      <w:r>
        <w:rPr>
          <w:rFonts w:ascii="Arial" w:hAnsi="Arial"/>
          <w:b/>
          <w:sz w:val="17"/>
        </w:rPr>
        <w:t xml:space="preserve">Product Strategy &amp; Discovery: </w:t>
      </w:r>
      <w:r>
        <w:rPr>
          <w:rFonts w:ascii="Arial" w:hAnsi="Arial"/>
          <w:sz w:val="17"/>
        </w:rPr>
        <w:t>Problem discovery, user journey mapping, Jobs-to-be-Done (JTBD), PRD authoring, user stories &amp; Gherkin acceptance criteria, competitive benchmarking.</w:t>
      </w:r>
    </w:p>
    <w:p>
      <w:pPr>
        <w:pStyle w:val="ListBullet"/>
        <w:spacing w:before="20" w:after="20"/>
      </w:pPr>
      <w:r>
        <w:rPr>
          <w:rFonts w:ascii="Arial" w:hAnsi="Arial"/>
          <w:b/>
          <w:sz w:val="17"/>
        </w:rPr>
        <w:t xml:space="preserve">Prioritization &amp; Scoping: </w:t>
      </w:r>
      <w:r>
        <w:rPr>
          <w:rFonts w:ascii="Arial" w:hAnsi="Arial"/>
          <w:sz w:val="17"/>
        </w:rPr>
        <w:t>RICE &amp; MoSCoW prioritization, Impact vs. Effort matrices, MVP boundary scoping, trade-off documentation, decision records.</w:t>
      </w:r>
    </w:p>
    <w:p>
      <w:pPr>
        <w:pStyle w:val="ListBullet"/>
        <w:spacing w:before="20" w:after="20"/>
      </w:pPr>
      <w:r>
        <w:rPr>
          <w:rFonts w:ascii="Arial" w:hAnsi="Arial"/>
          <w:b/>
          <w:sz w:val="17"/>
        </w:rPr>
        <w:t xml:space="preserve">Experimentation &amp; Metrics: </w:t>
      </w:r>
      <w:r>
        <w:rPr>
          <w:rFonts w:ascii="Arial" w:hAnsi="Arial"/>
          <w:sz w:val="17"/>
        </w:rPr>
        <w:t>A/B test design, sample size &amp; statistical power calculations, cohort retention modeling (D1/D7), evaluation metrics (precision, hallucination rate).</w:t>
      </w:r>
    </w:p>
    <w:p>
      <w:pPr>
        <w:pStyle w:val="ListBullet"/>
        <w:spacing w:before="20" w:after="20"/>
      </w:pPr>
      <w:r>
        <w:rPr>
          <w:rFonts w:ascii="Arial" w:hAnsi="Arial"/>
          <w:b/>
          <w:sz w:val="17"/>
        </w:rPr>
        <w:t xml:space="preserve">AI Product Integrity: </w:t>
      </w:r>
      <w:r>
        <w:rPr>
          <w:rFonts w:ascii="Arial" w:hAnsi="Arial"/>
          <w:sz w:val="17"/>
        </w:rPr>
        <w:t>Deterministic AI output grading, prompt architecture, synthetic evaluation fixtures, hallucination mitigation guardrails, executive AI workflows.</w:t>
      </w:r>
    </w:p>
    <w:p>
      <w:pPr>
        <w:pStyle w:val="ListBullet"/>
        <w:spacing w:before="20" w:after="20"/>
      </w:pPr>
      <w:r>
        <w:rPr>
          <w:rFonts w:ascii="Arial" w:hAnsi="Arial"/>
          <w:b/>
          <w:sz w:val="17"/>
        </w:rPr>
        <w:t xml:space="preserve">Technical Execution &amp; Tools: </w:t>
      </w:r>
      <w:r>
        <w:rPr>
          <w:rFonts w:ascii="Arial" w:hAnsi="Arial"/>
          <w:sz w:val="17"/>
        </w:rPr>
        <w:t>Python, Flask, SQLite, TypeScript, SQL queries &amp; data modeling, REST APIs, Git, Jira, Trello, Confluence documentation, FMEA root-cause analysis.</w:t>
      </w:r>
    </w:p>
    <w:p>
      <w:pPr>
        <w:keepNext/>
        <w:spacing w:before="160" w:after="40"/>
        <w:pBdr>
          <w:bottom w:val="single" w:sz="6" w:space="2" w:color="0E7490"/>
        </w:pBdr>
      </w:pPr>
      <w:r>
        <w:rPr>
          <w:rFonts w:ascii="Arial" w:hAnsi="Arial"/>
          <w:b/>
          <w:color w:val="0E7490"/>
          <w:sz w:val="19"/>
        </w:rPr>
        <w:t>FEATURED PRODUCT CASE STUDIES (INDEPENDENT IMPLEMENTATIONS)</w:t>
      </w:r>
    </w:p>
    <w:p>
      <w:pPr>
        <w:keepNext/>
        <w:spacing w:before="80" w:after="20"/>
      </w:pPr>
      <w:r>
        <w:rPr>
          <w:rFonts w:ascii="Arial" w:hAnsi="Arial"/>
          <w:b/>
          <w:sz w:val="18"/>
        </w:rPr>
        <w:t>ReviewFlow — AI-Assisted Customer Review Drafting &amp; Quality Evaluation</w:t>
      </w:r>
      <w:r>
        <w:rPr>
          <w:rFonts w:ascii="Arial" w:hAnsi="Arial"/>
          <w:i/>
          <w:color w:val="475569"/>
          <w:sz w:val="16"/>
        </w:rPr>
        <w:t xml:space="preserve">  [Product Specification, Evaluation Pipeline &amp; Live Prototype]</w:t>
      </w:r>
    </w:p>
    <w:p>
      <w:pPr>
        <w:pStyle w:val="ListBullet"/>
        <w:spacing w:before="20" w:after="20"/>
      </w:pPr>
      <w:r>
        <w:rPr>
          <w:rFonts w:ascii="Arial" w:hAnsi="Arial"/>
          <w:sz w:val="17"/>
        </w:rPr>
        <w:t>Defined product boundaries for an AI review drafting tool helping salon customers articulate authentic Google reviews while preventing hallucinated claims.</w:t>
      </w:r>
    </w:p>
    <w:p>
      <w:pPr>
        <w:pStyle w:val="ListBullet"/>
        <w:spacing w:before="20" w:after="20"/>
      </w:pPr>
      <w:r>
        <w:rPr>
          <w:rFonts w:ascii="Arial" w:hAnsi="Arial"/>
          <w:sz w:val="17"/>
        </w:rPr>
        <w:t>Authored 8 structured product decision records; deliberately deprioritized automatic posting to Google to eliminate hallucination liability.</w:t>
      </w:r>
    </w:p>
    <w:p>
      <w:pPr>
        <w:pStyle w:val="ListBullet"/>
        <w:spacing w:before="20" w:after="20"/>
      </w:pPr>
      <w:r>
        <w:rPr>
          <w:rFonts w:ascii="Arial" w:hAnsi="Arial"/>
          <w:sz w:val="17"/>
        </w:rPr>
        <w:t>Scoped MVP with MoSCoW; developed an offline 15-case regression suite and deterministic evaluator measuring rating consistency and format compliance.</w:t>
      </w:r>
    </w:p>
    <w:p>
      <w:pPr>
        <w:keepNext/>
        <w:spacing w:before="80" w:after="20"/>
      </w:pPr>
      <w:r>
        <w:rPr>
          <w:rFonts w:ascii="Arial" w:hAnsi="Arial"/>
          <w:b/>
          <w:sz w:val="18"/>
        </w:rPr>
        <w:t>Unrot — Daily Retention Modeling &amp; Cross-Functional Prioritization</w:t>
      </w:r>
      <w:r>
        <w:rPr>
          <w:rFonts w:ascii="Arial" w:hAnsi="Arial"/>
          <w:i/>
          <w:color w:val="475569"/>
          <w:sz w:val="16"/>
        </w:rPr>
        <w:t xml:space="preserve">  [Retention Modeling, Experiment Design &amp; Simulated Decision Brief]</w:t>
      </w:r>
    </w:p>
    <w:p>
      <w:pPr>
        <w:pStyle w:val="ListBullet"/>
        <w:spacing w:before="20" w:after="20"/>
      </w:pPr>
      <w:r>
        <w:rPr>
          <w:rFonts w:ascii="Arial" w:hAnsi="Arial"/>
          <w:sz w:val="17"/>
        </w:rPr>
        <w:t>Investigated educational habit decay; built a Day 1 retention measurement model and formulated testable Jobs-to-be-Done (JTBD) hypotheses.</w:t>
      </w:r>
    </w:p>
    <w:p>
      <w:pPr>
        <w:pStyle w:val="ListBullet"/>
        <w:spacing w:before="20" w:after="20"/>
      </w:pPr>
      <w:r>
        <w:rPr>
          <w:rFonts w:ascii="Arial" w:hAnsi="Arial"/>
          <w:sz w:val="17"/>
        </w:rPr>
        <w:t>Engineered a complete A/B experiment plan with power calculations and sample size requirements to test return-intent notification timing.</w:t>
      </w:r>
    </w:p>
    <w:p>
      <w:pPr>
        <w:pStyle w:val="ListBullet"/>
        <w:spacing w:before="20" w:after="20"/>
      </w:pPr>
      <w:r>
        <w:rPr>
          <w:rFonts w:ascii="Arial" w:hAnsi="Arial"/>
          <w:sz w:val="17"/>
        </w:rPr>
        <w:t>Authored a simulated 6-role cross-functional decision brief (Product, Business, UX, Data, Eng, QA) demonstrating trade-off alignment as a portfolio exercise.</w:t>
      </w:r>
    </w:p>
    <w:p>
      <w:pPr>
        <w:keepNext/>
        <w:spacing w:before="80" w:after="20"/>
      </w:pPr>
      <w:r>
        <w:rPr>
          <w:rFonts w:ascii="Arial" w:hAnsi="Arial"/>
          <w:b/>
          <w:sz w:val="18"/>
        </w:rPr>
        <w:t>Experiment Tracker — Statistical Rigor &amp; Decision-Support System</w:t>
      </w:r>
      <w:r>
        <w:rPr>
          <w:rFonts w:ascii="Arial" w:hAnsi="Arial"/>
          <w:i/>
          <w:color w:val="475569"/>
          <w:sz w:val="16"/>
        </w:rPr>
        <w:t xml:space="preserve">  [PRD Scoping, 17-Category Verification &amp; Functional Prototype]</w:t>
      </w:r>
    </w:p>
    <w:p>
      <w:pPr>
        <w:pStyle w:val="ListBullet"/>
        <w:spacing w:before="20" w:after="20"/>
      </w:pPr>
      <w:r>
        <w:rPr>
          <w:rFonts w:ascii="Arial" w:hAnsi="Arial"/>
          <w:sz w:val="17"/>
        </w:rPr>
        <w:t>Identified the 'experiment graveyard' friction point where test results lack structured conclusion capture and explicit launch/kill decision criteria.</w:t>
      </w:r>
    </w:p>
    <w:p>
      <w:pPr>
        <w:pStyle w:val="ListBullet"/>
        <w:spacing w:before="20" w:after="20"/>
      </w:pPr>
      <w:r>
        <w:rPr>
          <w:rFonts w:ascii="Arial" w:hAnsi="Arial"/>
          <w:sz w:val="17"/>
        </w:rPr>
        <w:t>Authored an 8-candidate product brief; prioritized conclusion capture (closing the loop in ~27 lines) over non-essential charting and complex auth.</w:t>
      </w:r>
    </w:p>
    <w:p>
      <w:pPr>
        <w:pStyle w:val="ListBullet"/>
        <w:spacing w:before="20" w:after="20"/>
      </w:pPr>
      <w:r>
        <w:rPr>
          <w:rFonts w:ascii="Arial" w:hAnsi="Arial"/>
          <w:sz w:val="17"/>
        </w:rPr>
        <w:t>Structured a 17-category verification suite and authored 26 automated test functions covering database integrity and decision gating.</w:t>
      </w:r>
    </w:p>
    <w:p>
      <w:pPr>
        <w:keepNext/>
        <w:spacing w:before="80" w:after="20"/>
      </w:pPr>
      <w:r>
        <w:rPr>
          <w:rFonts w:ascii="Arial" w:hAnsi="Arial"/>
          <w:b/>
          <w:sz w:val="18"/>
        </w:rPr>
        <w:t>Windows Taskflow &amp; IRCTC Rail Connect — Product Teardowns &amp; Prototypes</w:t>
      </w:r>
      <w:r>
        <w:rPr>
          <w:rFonts w:ascii="Arial" w:hAnsi="Arial"/>
          <w:i/>
          <w:color w:val="475569"/>
          <w:sz w:val="16"/>
        </w:rPr>
        <w:t xml:space="preserve">  [User Journey Mapping, Concurrency Analysis &amp; Clickable Prototypes]</w:t>
      </w:r>
    </w:p>
    <w:p>
      <w:pPr>
        <w:pStyle w:val="ListBullet"/>
        <w:spacing w:before="20" w:after="20"/>
      </w:pPr>
      <w:r>
        <w:rPr>
          <w:rFonts w:ascii="Arial" w:hAnsi="Arial"/>
          <w:sz w:val="17"/>
        </w:rPr>
        <w:t>Windows Taskflow: Authored PRD for context-aware workspaces; scoped backlog via RICE, defining &lt;3.5s state restoration as P0 KPI with interactive mockup.</w:t>
      </w:r>
    </w:p>
    <w:p>
      <w:pPr>
        <w:pStyle w:val="ListBullet"/>
        <w:spacing w:before="20" w:after="20"/>
      </w:pPr>
      <w:r>
        <w:rPr>
          <w:rFonts w:ascii="Arial" w:hAnsi="Arial"/>
          <w:sz w:val="17"/>
        </w:rPr>
        <w:t>IRCTC Rail Connect: Analyzed high-concurrency booking failure modes (latency, layout shifts, timeouts) across an illustrative funnel; built an interactive prototype with passenger autofill and queue handling.</w:t>
      </w:r>
    </w:p>
    <w:p>
      <w:r>
        <w:br w:type="page"/>
      </w:r>
    </w:p>
    <w:p>
      <w:pPr>
        <w:keepNext/>
        <w:spacing w:before="160" w:after="40"/>
        <w:pBdr>
          <w:bottom w:val="single" w:sz="6" w:space="2" w:color="0E7490"/>
        </w:pBdr>
      </w:pPr>
      <w:r>
        <w:rPr>
          <w:rFonts w:ascii="Arial" w:hAnsi="Arial"/>
          <w:b/>
          <w:color w:val="0E7490"/>
          <w:sz w:val="19"/>
        </w:rPr>
        <w:t>PROFESSIONAL EXPERIENCE (ENGINEERING EXECUTION &amp; TRANSFERABLE PM SKILLS)</w:t>
      </w:r>
    </w:p>
    <w:p>
      <w:pPr>
        <w:keepNext/>
        <w:spacing w:before="80" w:after="20"/>
      </w:pPr>
      <w:r>
        <w:rPr>
          <w:rFonts w:ascii="Arial" w:hAnsi="Arial"/>
          <w:b/>
          <w:sz w:val="18"/>
        </w:rPr>
        <w:t>Nokia Solutions and Networks India Pvt Ltd</w:t>
      </w:r>
      <w:r>
        <w:rPr>
          <w:rFonts w:ascii="Arial" w:hAnsi="Arial"/>
          <w:sz w:val="17"/>
        </w:rPr>
        <w:t xml:space="preserve"> — Engineer — Systems &amp; Hardware Diagnostics</w:t>
      </w:r>
      <w:r>
        <w:rPr>
          <w:rFonts w:ascii="Arial" w:hAnsi="Arial"/>
          <w:i/>
          <w:color w:val="475569"/>
          <w:sz w:val="16"/>
        </w:rPr>
        <w:t xml:space="preserve"> (Sep 2023 – Present)</w:t>
      </w:r>
    </w:p>
    <w:p>
      <w:pPr>
        <w:pStyle w:val="ListBullet"/>
        <w:spacing w:before="20" w:after="20"/>
      </w:pPr>
      <w:r>
        <w:rPr>
          <w:rFonts w:ascii="Arial" w:hAnsi="Arial"/>
          <w:sz w:val="17"/>
        </w:rPr>
        <w:t>Execute hands-on diagnostic testing, troubleshooting, and root-cause analysis (RCA) on carrier telecom systems: Nokia SM1660 Matrix E, GPON Fixed Network cards, and Nokia Wi-Fi.</w:t>
      </w:r>
    </w:p>
    <w:p>
      <w:pPr>
        <w:pStyle w:val="ListBullet"/>
        <w:spacing w:before="20" w:after="20"/>
      </w:pPr>
      <w:r>
        <w:rPr>
          <w:rFonts w:ascii="Arial" w:hAnsi="Arial"/>
          <w:sz w:val="17"/>
        </w:rPr>
        <w:t>Coordinate cross-functional customer escalation triage across customer-facing teams, Site Reliability Engineers (SRE), and repair centre technical personnel.</w:t>
      </w:r>
    </w:p>
    <w:p>
      <w:pPr>
        <w:pStyle w:val="ListBullet"/>
        <w:spacing w:before="20" w:after="20"/>
      </w:pPr>
      <w:r>
        <w:rPr>
          <w:rFonts w:ascii="Arial" w:hAnsi="Arial"/>
          <w:sz w:val="17"/>
        </w:rPr>
        <w:t>Translate vague field outage tickets into structured, reproducible diagnostic investigation plans, replicating field configurations to isolate intermittent hardware resets and prevent repeat failures.</w:t>
      </w:r>
    </w:p>
    <w:p>
      <w:pPr>
        <w:keepNext/>
        <w:spacing w:before="80" w:after="20"/>
      </w:pPr>
      <w:r>
        <w:rPr>
          <w:rFonts w:ascii="Arial" w:hAnsi="Arial"/>
          <w:b/>
          <w:sz w:val="18"/>
        </w:rPr>
        <w:t>Radio Design India Pvt Ltd</w:t>
      </w:r>
      <w:r>
        <w:rPr>
          <w:rFonts w:ascii="Arial" w:hAnsi="Arial"/>
          <w:sz w:val="17"/>
        </w:rPr>
        <w:t xml:space="preserve"> — Repair Engineer</w:t>
      </w:r>
      <w:r>
        <w:rPr>
          <w:rFonts w:ascii="Arial" w:hAnsi="Arial"/>
          <w:i/>
          <w:color w:val="475569"/>
          <w:sz w:val="16"/>
        </w:rPr>
        <w:t xml:space="preserve"> (Dec 2020 – 2021)</w:t>
      </w:r>
    </w:p>
    <w:p>
      <w:pPr>
        <w:pStyle w:val="ListBullet"/>
        <w:spacing w:before="20" w:after="20"/>
      </w:pPr>
      <w:r>
        <w:rPr>
          <w:rFonts w:ascii="Arial" w:hAnsi="Arial"/>
          <w:sz w:val="17"/>
        </w:rPr>
        <w:t>Conducted diagnostic fault-finding, frequency tuning, and functional testing on RF routers and power amplifier units across stringent frequency specifications.</w:t>
      </w:r>
    </w:p>
    <w:p>
      <w:pPr>
        <w:pStyle w:val="ListBullet"/>
        <w:spacing w:before="20" w:after="20"/>
      </w:pPr>
      <w:r>
        <w:rPr>
          <w:rFonts w:ascii="Arial" w:hAnsi="Arial"/>
          <w:sz w:val="17"/>
        </w:rPr>
        <w:t>Standardized alignment and verification procedures to ensure zero-defect deployment across live telecom infrastructure.</w:t>
      </w:r>
    </w:p>
    <w:p>
      <w:pPr>
        <w:keepNext/>
        <w:spacing w:before="80" w:after="20"/>
      </w:pPr>
      <w:r>
        <w:rPr>
          <w:rFonts w:ascii="Arial" w:hAnsi="Arial"/>
          <w:b/>
          <w:sz w:val="18"/>
        </w:rPr>
        <w:t>CTDI India Pvt Ltd (Communications Test Design India)</w:t>
      </w:r>
      <w:r>
        <w:rPr>
          <w:rFonts w:ascii="Arial" w:hAnsi="Arial"/>
          <w:sz w:val="17"/>
        </w:rPr>
        <w:t xml:space="preserve"> — Repair Engineer</w:t>
      </w:r>
      <w:r>
        <w:rPr>
          <w:rFonts w:ascii="Arial" w:hAnsi="Arial"/>
          <w:i/>
          <w:color w:val="475569"/>
          <w:sz w:val="16"/>
        </w:rPr>
        <w:t xml:space="preserve"> (Feb 2018 – Dec 2020)</w:t>
      </w:r>
    </w:p>
    <w:p>
      <w:pPr>
        <w:pStyle w:val="ListBullet"/>
        <w:spacing w:before="20" w:after="20"/>
      </w:pPr>
      <w:r>
        <w:rPr>
          <w:rFonts w:ascii="Arial" w:hAnsi="Arial"/>
          <w:sz w:val="17"/>
        </w:rPr>
        <w:t>Executed component-level troubleshooting, repair, and qualification across Wi-Fi routers, modems, set-top boxes, and power supplies.</w:t>
      </w:r>
    </w:p>
    <w:p>
      <w:pPr>
        <w:pStyle w:val="ListBullet"/>
        <w:spacing w:before="20" w:after="20"/>
      </w:pPr>
      <w:r>
        <w:rPr>
          <w:rFonts w:ascii="Arial" w:hAnsi="Arial"/>
          <w:sz w:val="17"/>
        </w:rPr>
        <w:t>Identified common failure modes across test stations, documenting repeatable diagnostic workflows to maintain turnaround standards.</w:t>
      </w:r>
    </w:p>
    <w:p>
      <w:pPr>
        <w:keepNext/>
        <w:spacing w:before="80" w:after="20"/>
      </w:pPr>
      <w:r>
        <w:rPr>
          <w:rFonts w:ascii="Arial" w:hAnsi="Arial"/>
          <w:b/>
          <w:sz w:val="18"/>
        </w:rPr>
        <w:t>iQor Global Services India Pvt Ltd</w:t>
      </w:r>
      <w:r>
        <w:rPr>
          <w:rFonts w:ascii="Arial" w:hAnsi="Arial"/>
          <w:sz w:val="17"/>
        </w:rPr>
        <w:t xml:space="preserve"> — Repair Engineer</w:t>
      </w:r>
      <w:r>
        <w:rPr>
          <w:rFonts w:ascii="Arial" w:hAnsi="Arial"/>
          <w:i/>
          <w:color w:val="475569"/>
          <w:sz w:val="16"/>
        </w:rPr>
        <w:t xml:space="preserve"> (Oct 2017 – Feb 2018)</w:t>
      </w:r>
    </w:p>
    <w:p>
      <w:pPr>
        <w:pStyle w:val="ListBullet"/>
        <w:spacing w:before="20" w:after="20"/>
      </w:pPr>
      <w:r>
        <w:rPr>
          <w:rFonts w:ascii="Arial" w:hAnsi="Arial"/>
          <w:sz w:val="17"/>
        </w:rPr>
        <w:t>Performed functional testing, troubleshooting, and calibration for consumer digital set-top boxes (DEN Skyworth &amp; Airtel STB), enforcing strict quality thresholds on borderline units.</w:t>
      </w:r>
    </w:p>
    <w:p>
      <w:pPr>
        <w:keepNext/>
        <w:spacing w:before="160" w:after="40"/>
        <w:pBdr>
          <w:bottom w:val="single" w:sz="6" w:space="2" w:color="0E7490"/>
        </w:pBdr>
      </w:pPr>
      <w:r>
        <w:rPr>
          <w:rFonts w:ascii="Arial" w:hAnsi="Arial"/>
          <w:b/>
          <w:color w:val="0E7490"/>
          <w:sz w:val="19"/>
        </w:rPr>
        <w:t>EDUCATION &amp; VERIFIED CREDENTIALS</w:t>
      </w:r>
    </w:p>
    <w:p>
      <w:pPr>
        <w:pStyle w:val="ListBullet"/>
        <w:spacing w:before="20" w:after="20"/>
      </w:pPr>
      <w:r>
        <w:rPr>
          <w:rFonts w:ascii="Arial" w:hAnsi="Arial"/>
          <w:b/>
          <w:sz w:val="17"/>
        </w:rPr>
        <w:t xml:space="preserve">Executive Education: Product Management in the Agentic AI Era — </w:t>
      </w:r>
      <w:r>
        <w:rPr>
          <w:rFonts w:ascii="Arial" w:hAnsi="Arial"/>
          <w:sz w:val="17"/>
        </w:rPr>
        <w:t>IIM Tiruchirappalli (Coursework Completed 2026)</w:t>
      </w:r>
    </w:p>
    <w:p>
      <w:pPr>
        <w:pStyle w:val="ListBullet"/>
        <w:spacing w:before="20" w:after="20"/>
      </w:pPr>
      <w:r>
        <w:rPr>
          <w:rFonts w:ascii="Arial" w:hAnsi="Arial"/>
          <w:b/>
          <w:sz w:val="17"/>
        </w:rPr>
        <w:t xml:space="preserve">Product Owner Certification — </w:t>
      </w:r>
      <w:r>
        <w:rPr>
          <w:rFonts w:ascii="Arial" w:hAnsi="Arial"/>
          <w:sz w:val="17"/>
        </w:rPr>
        <w:t>Udemy (Credential ID: F607C4712D38)</w:t>
      </w:r>
    </w:p>
    <w:p>
      <w:pPr>
        <w:pStyle w:val="ListBullet"/>
        <w:spacing w:before="20" w:after="20"/>
      </w:pPr>
      <w:r>
        <w:rPr>
          <w:rFonts w:ascii="Arial" w:hAnsi="Arial"/>
          <w:b/>
          <w:sz w:val="17"/>
        </w:rPr>
        <w:t xml:space="preserve">Python for AI — </w:t>
      </w:r>
      <w:r>
        <w:rPr>
          <w:rFonts w:ascii="Arial" w:hAnsi="Arial"/>
          <w:sz w:val="17"/>
        </w:rPr>
        <w:t>ScholarHat (Credential ID: IJDU240126)</w:t>
      </w:r>
    </w:p>
    <w:p>
      <w:pPr>
        <w:pStyle w:val="ListBullet"/>
        <w:spacing w:before="20" w:after="20"/>
      </w:pPr>
      <w:r>
        <w:rPr>
          <w:rFonts w:ascii="Arial" w:hAnsi="Arial"/>
          <w:b/>
          <w:sz w:val="17"/>
        </w:rPr>
        <w:t xml:space="preserve">Management Consulting &amp; Excel Analytics — </w:t>
      </w:r>
      <w:r>
        <w:rPr>
          <w:rFonts w:ascii="Arial" w:hAnsi="Arial"/>
          <w:sz w:val="17"/>
        </w:rPr>
        <w:t>Jobaaj Learnings (Credential ID: AIJDW103334)</w:t>
      </w:r>
    </w:p>
    <w:p>
      <w:pPr>
        <w:pStyle w:val="ListBullet"/>
        <w:spacing w:before="20" w:after="20"/>
      </w:pPr>
      <w:r>
        <w:rPr>
          <w:rFonts w:ascii="Arial" w:hAnsi="Arial"/>
          <w:b/>
          <w:sz w:val="17"/>
        </w:rPr>
        <w:t xml:space="preserve">Bachelor of Technology (B.Tech) in Mechanical Engineering — </w:t>
      </w:r>
      <w:r>
        <w:rPr>
          <w:rFonts w:ascii="Arial" w:hAnsi="Arial"/>
          <w:sz w:val="17"/>
        </w:rPr>
        <w:t>Kurukshetra University (2014 – 2017)</w:t>
      </w:r>
    </w:p>
    <w:p>
      <w:pPr>
        <w:pStyle w:val="ListBullet"/>
        <w:spacing w:before="20" w:after="20"/>
      </w:pPr>
      <w:r>
        <w:rPr>
          <w:rFonts w:ascii="Arial" w:hAnsi="Arial"/>
          <w:b/>
          <w:sz w:val="17"/>
        </w:rPr>
        <w:t xml:space="preserve">Diploma in Electronics &amp; Communication Engineering (ECE) — </w:t>
      </w:r>
      <w:r>
        <w:rPr>
          <w:rFonts w:ascii="Arial" w:hAnsi="Arial"/>
          <w:sz w:val="17"/>
        </w:rPr>
        <w:t>Govt. Polytechnic Ambala City (2010 – 2013)</w:t>
      </w:r>
    </w:p>
    <w:p>
      <w:pPr>
        <w:keepNext/>
        <w:spacing w:before="160" w:after="40"/>
        <w:pBdr>
          <w:bottom w:val="single" w:sz="6" w:space="2" w:color="0E7490"/>
        </w:pBdr>
      </w:pPr>
      <w:r>
        <w:rPr>
          <w:rFonts w:ascii="Arial" w:hAnsi="Arial"/>
          <w:b/>
          <w:color w:val="0E7490"/>
          <w:sz w:val="19"/>
        </w:rPr>
        <w:t>TECHNICAL STACK &amp; OPERATIONAL TOOLING</w:t>
      </w:r>
    </w:p>
    <w:p>
      <w:pPr>
        <w:pStyle w:val="ListBullet"/>
        <w:spacing w:before="20" w:after="20"/>
      </w:pPr>
      <w:r>
        <w:rPr>
          <w:rFonts w:ascii="Arial" w:hAnsi="Arial"/>
          <w:b/>
          <w:sz w:val="17"/>
        </w:rPr>
        <w:t xml:space="preserve">Telecom &amp; Diagnostic Systems: </w:t>
      </w:r>
      <w:r>
        <w:rPr>
          <w:rFonts w:ascii="Arial" w:hAnsi="Arial"/>
          <w:sz w:val="17"/>
        </w:rPr>
        <w:t>Carrier-grade DWDM/SDH (Nokia SM1660 Matrix E), GPON Optical Line Terminals (OLT) &amp; ONTs, Nokia Wi-Fi beacons, RF signal generators &amp; power amplifiers, spectrum analyzers.</w:t>
      </w:r>
    </w:p>
    <w:p>
      <w:pPr>
        <w:pStyle w:val="ListBullet"/>
        <w:spacing w:before="20" w:after="20"/>
      </w:pPr>
      <w:r>
        <w:rPr>
          <w:rFonts w:ascii="Arial" w:hAnsi="Arial"/>
          <w:b/>
          <w:sz w:val="17"/>
        </w:rPr>
        <w:t xml:space="preserve">Development &amp; Product Analytics: </w:t>
      </w:r>
      <w:r>
        <w:rPr>
          <w:rFonts w:ascii="Arial" w:hAnsi="Arial"/>
          <w:sz w:val="17"/>
        </w:rPr>
        <w:t>Python 3, Flask, SQLite, TypeScript, REST APIs, Git, Jira, Trello, Confluence, Microsoft Excel (Advanced financial &amp; cohort modeling).</w:t>
      </w:r>
    </w:p>
    <w:p>
      <w:pPr>
        <w:pStyle w:val="ListBullet"/>
        <w:spacing w:before="20" w:after="20"/>
      </w:pPr>
      <w:r>
        <w:rPr>
          <w:rFonts w:ascii="Arial" w:hAnsi="Arial"/>
          <w:b/>
          <w:sz w:val="17"/>
        </w:rPr>
        <w:t xml:space="preserve">Methodologies &amp; Quality Standards: </w:t>
      </w:r>
      <w:r>
        <w:rPr>
          <w:rFonts w:ascii="Arial" w:hAnsi="Arial"/>
          <w:sz w:val="17"/>
        </w:rPr>
        <w:t>Root Cause Analysis (RCA), Failure Mode and Effects Analysis (FMEA), Gherkin BDD specs, MoSCoW / RICE prioritization, statistical power analysis, automated anti-hallucination evaluation suites.</w:t>
      </w:r>
    </w:p>
    <w:sectPr w:rsidR="00FC693F" w:rsidRPr="0006063C" w:rsidSect="00034616">
      <w:pgSz w:w="12240" w:h="15840"/>
      <w:pgMar w:top="720" w:right="792" w:bottom="720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asimkumar613@gmail.com" TargetMode="External"/><Relationship Id="rId10" Type="http://schemas.openxmlformats.org/officeDocument/2006/relationships/hyperlink" Target="https://github.com/asimk714/asim-portfolio" TargetMode="External"/><Relationship Id="rId11" Type="http://schemas.openxmlformats.org/officeDocument/2006/relationships/hyperlink" Target="https://www.linkedin.com/in/asim-kumar-b69558188" TargetMode="External"/><Relationship Id="rId12" Type="http://schemas.openxmlformats.org/officeDocument/2006/relationships/hyperlink" Target="https://github.com/asimk71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