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67C2" w14:textId="0AFD96DF" w:rsidR="002227E7" w:rsidRDefault="002227E7">
      <w:r>
        <w:rPr>
          <w:noProof/>
        </w:rPr>
        <w:drawing>
          <wp:anchor distT="0" distB="0" distL="114300" distR="114300" simplePos="0" relativeHeight="251658240" behindDoc="0" locked="0" layoutInCell="1" allowOverlap="1" wp14:anchorId="4A42517D" wp14:editId="626BE37A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5886450" cy="2114550"/>
            <wp:effectExtent l="0" t="0" r="0" b="0"/>
            <wp:wrapNone/>
            <wp:docPr id="12933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0C2F6" w14:textId="77859A19" w:rsidR="002227E7" w:rsidRDefault="002227E7"/>
    <w:p w14:paraId="62ED8EF2" w14:textId="77777777" w:rsidR="002227E7" w:rsidRDefault="002227E7"/>
    <w:p w14:paraId="4A167D57" w14:textId="77777777" w:rsidR="002227E7" w:rsidRDefault="002227E7"/>
    <w:p w14:paraId="55731436" w14:textId="77777777" w:rsidR="002227E7" w:rsidRDefault="002227E7"/>
    <w:p w14:paraId="0A44D126" w14:textId="77777777" w:rsidR="002227E7" w:rsidRDefault="002227E7"/>
    <w:p w14:paraId="798980C8" w14:textId="55A83D11" w:rsidR="002227E7" w:rsidRDefault="002227E7"/>
    <w:p w14:paraId="7A3F7CE7" w14:textId="6807B6D2" w:rsidR="00FC6B68" w:rsidRDefault="00FC6B68"/>
    <w:p w14:paraId="7C737711" w14:textId="33ED6100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  <w:r w:rsidRPr="002227E7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7CDB4BB" wp14:editId="7EC83A27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5848350" cy="4229100"/>
            <wp:effectExtent l="0" t="0" r="0" b="0"/>
            <wp:wrapTopAndBottom/>
            <wp:docPr id="1858036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7E7">
        <w:rPr>
          <w:rFonts w:ascii="Times New Roman" w:hAnsi="Times New Roman" w:cs="Times New Roman"/>
          <w:b/>
          <w:bCs/>
        </w:rPr>
        <w:t>Scheme:</w:t>
      </w:r>
      <w:r w:rsidRPr="002227E7">
        <w:rPr>
          <w:rFonts w:ascii="Times New Roman" w:hAnsi="Times New Roman" w:cs="Times New Roman"/>
        </w:rPr>
        <w:t xml:space="preserve"> A graph shows two types of commercial bricks, Na</w:t>
      </w:r>
      <w:r w:rsidRPr="002227E7">
        <w:rPr>
          <w:rFonts w:ascii="Times New Roman" w:hAnsi="Times New Roman" w:cs="Times New Roman"/>
          <w:vertAlign w:val="subscript"/>
        </w:rPr>
        <w:t>2</w:t>
      </w:r>
      <w:r w:rsidRPr="002227E7">
        <w:rPr>
          <w:rFonts w:ascii="Times New Roman" w:hAnsi="Times New Roman" w:cs="Times New Roman"/>
        </w:rPr>
        <w:t>SO</w:t>
      </w:r>
      <w:r w:rsidRPr="002227E7">
        <w:rPr>
          <w:rFonts w:ascii="Times New Roman" w:hAnsi="Times New Roman" w:cs="Times New Roman"/>
          <w:vertAlign w:val="subscript"/>
        </w:rPr>
        <w:t xml:space="preserve">4 </w:t>
      </w:r>
      <w:r w:rsidRPr="002227E7">
        <w:rPr>
          <w:rFonts w:ascii="Times New Roman" w:hAnsi="Times New Roman" w:cs="Times New Roman"/>
        </w:rPr>
        <w:t>and NaCl.</w:t>
      </w:r>
    </w:p>
    <w:p w14:paraId="3E2A03B1" w14:textId="77777777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D73D530" w14:textId="48AD5F33" w:rsidR="002227E7" w:rsidRPr="00487629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  <w:r w:rsidRPr="00487629">
        <w:rPr>
          <w:rFonts w:ascii="Times New Roman" w:hAnsi="Times New Roman" w:cs="Times New Roman"/>
          <w:b/>
          <w:bCs/>
        </w:rPr>
        <w:t>Fig. 1.</w:t>
      </w:r>
      <w:r w:rsidRPr="00487629">
        <w:rPr>
          <w:rFonts w:ascii="Times New Roman" w:hAnsi="Times New Roman" w:cs="Times New Roman"/>
        </w:rPr>
        <w:t xml:space="preserve"> Mass fluctuations during accelerated salt weathering cycles: (a) sulfate-exposed C1, (b) sulfate-exposed C2, (c) chloride-exposed C1, and (d) chloride-exposed C2 specimens.</w:t>
      </w:r>
    </w:p>
    <w:p w14:paraId="45F2656A" w14:textId="1153D3F2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378385" wp14:editId="74731A63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953125" cy="2657475"/>
            <wp:effectExtent l="0" t="0" r="9525" b="9525"/>
            <wp:wrapTopAndBottom/>
            <wp:docPr id="1513797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84861" w14:textId="271E5FA1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1CA52B" wp14:editId="10BB1722">
            <wp:simplePos x="0" y="0"/>
            <wp:positionH relativeFrom="margin">
              <wp:posOffset>800100</wp:posOffset>
            </wp:positionH>
            <wp:positionV relativeFrom="paragraph">
              <wp:posOffset>1441450</wp:posOffset>
            </wp:positionV>
            <wp:extent cx="4143375" cy="2809875"/>
            <wp:effectExtent l="0" t="0" r="9525" b="9525"/>
            <wp:wrapTopAndBottom/>
            <wp:docPr id="147971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7629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2</w:t>
      </w:r>
      <w:r w:rsidRPr="00487629">
        <w:rPr>
          <w:rFonts w:ascii="Times New Roman" w:hAnsi="Times New Roman" w:cs="Times New Roman"/>
          <w:b/>
          <w:bCs/>
        </w:rPr>
        <w:t xml:space="preserve">. </w:t>
      </w:r>
      <w:r w:rsidRPr="00487629">
        <w:rPr>
          <w:rFonts w:ascii="Times New Roman" w:hAnsi="Times New Roman" w:cs="Times New Roman"/>
        </w:rPr>
        <w:t>(a)  Physical degradation of C1, C1-SC, and C1-AS specimens following 30 accelerated weathering cycles</w:t>
      </w:r>
      <w:r>
        <w:rPr>
          <w:rFonts w:ascii="Times New Roman" w:hAnsi="Times New Roman" w:cs="Times New Roman"/>
        </w:rPr>
        <w:t xml:space="preserve">, </w:t>
      </w:r>
      <w:r w:rsidRPr="00487629">
        <w:rPr>
          <w:rFonts w:ascii="Times New Roman" w:hAnsi="Times New Roman" w:cs="Times New Roman"/>
        </w:rPr>
        <w:t>(b) Comparative damage state of untreated and treated C2 brick variants after 30 rounds of weathering</w:t>
      </w:r>
      <w:r>
        <w:rPr>
          <w:rFonts w:ascii="Times New Roman" w:hAnsi="Times New Roman" w:cs="Times New Roman"/>
        </w:rPr>
        <w:t xml:space="preserve">, </w:t>
      </w:r>
      <w:r w:rsidRPr="0048762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487629">
        <w:rPr>
          <w:rFonts w:ascii="Times New Roman" w:hAnsi="Times New Roman" w:cs="Times New Roman"/>
        </w:rPr>
        <w:t>) Visible weathering and material integrity of the various C1 brick configurations following 90</w:t>
      </w:r>
      <w:r w:rsidRPr="00F83D76">
        <w:rPr>
          <w:rFonts w:ascii="Times New Roman" w:hAnsi="Times New Roman" w:cs="Times New Roman"/>
          <w:vertAlign w:val="superscript"/>
        </w:rPr>
        <w:t>th</w:t>
      </w:r>
      <w:r w:rsidRPr="00487629">
        <w:rPr>
          <w:rFonts w:ascii="Times New Roman" w:hAnsi="Times New Roman" w:cs="Times New Roman"/>
        </w:rPr>
        <w:t xml:space="preserve"> test cycles</w:t>
      </w:r>
      <w:r>
        <w:rPr>
          <w:rFonts w:ascii="Times New Roman" w:hAnsi="Times New Roman" w:cs="Times New Roman"/>
        </w:rPr>
        <w:t xml:space="preserve">, and </w:t>
      </w:r>
      <w:r w:rsidRPr="0048762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d</w:t>
      </w:r>
      <w:r w:rsidRPr="00487629">
        <w:rPr>
          <w:rFonts w:ascii="Times New Roman" w:hAnsi="Times New Roman" w:cs="Times New Roman"/>
        </w:rPr>
        <w:t>) Visible weathering and material integrity of the various C2 brick configurations following 90</w:t>
      </w:r>
      <w:r w:rsidRPr="001B092A">
        <w:rPr>
          <w:rFonts w:ascii="Times New Roman" w:hAnsi="Times New Roman" w:cs="Times New Roman"/>
          <w:vertAlign w:val="superscript"/>
        </w:rPr>
        <w:t>th</w:t>
      </w:r>
      <w:r w:rsidRPr="00487629">
        <w:rPr>
          <w:rFonts w:ascii="Times New Roman" w:hAnsi="Times New Roman" w:cs="Times New Roman"/>
        </w:rPr>
        <w:t xml:space="preserve"> test cycles.</w:t>
      </w:r>
    </w:p>
    <w:p w14:paraId="17C71321" w14:textId="77777777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87B8276" w14:textId="010AD62C" w:rsidR="002227E7" w:rsidRPr="00487629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  <w:r w:rsidRPr="00420D7E">
        <w:rPr>
          <w:rFonts w:ascii="Times New Roman" w:hAnsi="Times New Roman" w:cs="Times New Roman"/>
          <w:b/>
          <w:bCs/>
        </w:rPr>
        <w:t xml:space="preserve">Fig. 3. </w:t>
      </w:r>
      <w:r w:rsidRPr="00904595">
        <w:rPr>
          <w:rFonts w:ascii="Times New Roman" w:hAnsi="Times New Roman" w:cs="Times New Roman"/>
        </w:rPr>
        <w:t xml:space="preserve">Weight loss profiles of fired-clay brick samples subjected to 20 wet-dry weathering cycles during immersion in </w:t>
      </w:r>
      <w:r>
        <w:rPr>
          <w:rFonts w:ascii="Times New Roman" w:hAnsi="Times New Roman" w:cs="Times New Roman"/>
        </w:rPr>
        <w:t>DI</w:t>
      </w:r>
      <w:r w:rsidRPr="00904595">
        <w:rPr>
          <w:rFonts w:ascii="Times New Roman" w:hAnsi="Times New Roman" w:cs="Times New Roman"/>
        </w:rPr>
        <w:t xml:space="preserve"> water, 10% </w:t>
      </w:r>
      <w:r w:rsidRPr="006C1F74">
        <w:rPr>
          <w:rFonts w:ascii="Times New Roman" w:hAnsi="Times New Roman" w:cs="Times New Roman"/>
        </w:rPr>
        <w:t>NaCl</w:t>
      </w:r>
      <w:r w:rsidRPr="00904595">
        <w:rPr>
          <w:rFonts w:ascii="Times New Roman" w:hAnsi="Times New Roman" w:cs="Times New Roman"/>
        </w:rPr>
        <w:t xml:space="preserve">, and saturated </w:t>
      </w:r>
      <w:r w:rsidRPr="007C4183">
        <w:rPr>
          <w:rFonts w:ascii="Times New Roman" w:hAnsi="Times New Roman" w:cs="Times New Roman"/>
          <w:noProof/>
        </w:rPr>
        <w:t>Na</w:t>
      </w:r>
      <w:r w:rsidRPr="007C4183">
        <w:rPr>
          <w:rFonts w:ascii="Times New Roman" w:hAnsi="Times New Roman" w:cs="Times New Roman"/>
          <w:noProof/>
          <w:vertAlign w:val="subscript"/>
        </w:rPr>
        <w:t>2</w:t>
      </w:r>
      <w:r w:rsidRPr="007C4183">
        <w:rPr>
          <w:rFonts w:ascii="Times New Roman" w:hAnsi="Times New Roman" w:cs="Times New Roman"/>
          <w:noProof/>
        </w:rPr>
        <w:t>SO</w:t>
      </w:r>
      <w:r w:rsidRPr="007C4183">
        <w:rPr>
          <w:rFonts w:ascii="Times New Roman" w:hAnsi="Times New Roman" w:cs="Times New Roman"/>
          <w:noProof/>
          <w:vertAlign w:val="subscript"/>
        </w:rPr>
        <w:t>4</w:t>
      </w:r>
      <w:r w:rsidRPr="00904595">
        <w:rPr>
          <w:rFonts w:ascii="Times New Roman" w:hAnsi="Times New Roman" w:cs="Times New Roman"/>
        </w:rPr>
        <w:t xml:space="preserve"> solutions.</w:t>
      </w:r>
    </w:p>
    <w:p w14:paraId="7338024B" w14:textId="476E7F49" w:rsidR="002227E7" w:rsidRDefault="0010675C" w:rsidP="002227E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7C0401B" wp14:editId="1C227D12">
            <wp:simplePos x="0" y="0"/>
            <wp:positionH relativeFrom="margin">
              <wp:posOffset>142875</wp:posOffset>
            </wp:positionH>
            <wp:positionV relativeFrom="paragraph">
              <wp:posOffset>114300</wp:posOffset>
            </wp:positionV>
            <wp:extent cx="5686425" cy="2286000"/>
            <wp:effectExtent l="0" t="0" r="9525" b="0"/>
            <wp:wrapTopAndBottom/>
            <wp:docPr id="1136405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8FE38" w14:textId="40C2BFDF" w:rsidR="0010675C" w:rsidRPr="00596927" w:rsidRDefault="0010675C" w:rsidP="0010675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8F53AA" wp14:editId="49DF71ED">
            <wp:simplePos x="0" y="0"/>
            <wp:positionH relativeFrom="margin">
              <wp:posOffset>266700</wp:posOffset>
            </wp:positionH>
            <wp:positionV relativeFrom="paragraph">
              <wp:posOffset>626110</wp:posOffset>
            </wp:positionV>
            <wp:extent cx="5419725" cy="3657600"/>
            <wp:effectExtent l="0" t="0" r="9525" b="0"/>
            <wp:wrapTopAndBottom/>
            <wp:docPr id="217532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7629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4</w:t>
      </w:r>
      <w:r w:rsidRPr="00487629">
        <w:rPr>
          <w:rFonts w:ascii="Times New Roman" w:hAnsi="Times New Roman" w:cs="Times New Roman"/>
          <w:b/>
          <w:bCs/>
        </w:rPr>
        <w:t>.</w:t>
      </w:r>
      <w:r w:rsidRPr="00487629">
        <w:rPr>
          <w:rFonts w:ascii="Times New Roman" w:hAnsi="Times New Roman" w:cs="Times New Roman"/>
        </w:rPr>
        <w:t xml:space="preserve"> UPV variations across successive weathering cycles for samples exposed to: (a) sulfate salt and (b) chloride salt solutions.</w:t>
      </w:r>
    </w:p>
    <w:p w14:paraId="5AC9C462" w14:textId="30FBA3AC" w:rsidR="002227E7" w:rsidRDefault="002227E7" w:rsidP="002227E7">
      <w:pPr>
        <w:spacing w:line="360" w:lineRule="auto"/>
        <w:jc w:val="both"/>
        <w:rPr>
          <w:rFonts w:ascii="Times New Roman" w:hAnsi="Times New Roman" w:cs="Times New Roman"/>
        </w:rPr>
      </w:pPr>
    </w:p>
    <w:p w14:paraId="310DE0BD" w14:textId="20ADE2B8" w:rsidR="002227E7" w:rsidRPr="0010675C" w:rsidRDefault="0010675C" w:rsidP="0010675C">
      <w:pPr>
        <w:spacing w:line="360" w:lineRule="auto"/>
        <w:jc w:val="both"/>
        <w:rPr>
          <w:rFonts w:ascii="Times New Roman" w:hAnsi="Times New Roman" w:cs="Times New Roman"/>
        </w:rPr>
      </w:pPr>
      <w:r w:rsidRPr="004F6702">
        <w:rPr>
          <w:rFonts w:ascii="Times New Roman" w:hAnsi="Times New Roman" w:cs="Times New Roman"/>
          <w:b/>
          <w:bCs/>
        </w:rPr>
        <w:t xml:space="preserve">Fig. </w:t>
      </w:r>
      <w:r>
        <w:rPr>
          <w:rFonts w:ascii="Times New Roman" w:hAnsi="Times New Roman" w:cs="Times New Roman"/>
          <w:b/>
          <w:bCs/>
        </w:rPr>
        <w:t>5</w:t>
      </w:r>
      <w:r w:rsidRPr="004F6702">
        <w:rPr>
          <w:rFonts w:ascii="Times New Roman" w:hAnsi="Times New Roman" w:cs="Times New Roman"/>
          <w:b/>
          <w:bCs/>
        </w:rPr>
        <w:t>.</w:t>
      </w:r>
      <w:r w:rsidRPr="004F6702">
        <w:rPr>
          <w:rFonts w:ascii="Times New Roman" w:hAnsi="Times New Roman" w:cs="Times New Roman"/>
        </w:rPr>
        <w:t xml:space="preserve"> Differential mercury intrusion curves comparing </w:t>
      </w:r>
      <w:proofErr w:type="spellStart"/>
      <w:r w:rsidRPr="004F6702">
        <w:rPr>
          <w:rFonts w:ascii="Times New Roman" w:hAnsi="Times New Roman" w:cs="Times New Roman"/>
        </w:rPr>
        <w:t>unweathered</w:t>
      </w:r>
      <w:proofErr w:type="spellEnd"/>
      <w:r w:rsidRPr="004F6702">
        <w:rPr>
          <w:rFonts w:ascii="Times New Roman" w:hAnsi="Times New Roman" w:cs="Times New Roman"/>
        </w:rPr>
        <w:t xml:space="preserve"> baseline samples with coated specimens subjected to accelerated NaCl weathering: </w:t>
      </w:r>
      <w:r w:rsidRPr="00596927">
        <w:rPr>
          <w:rFonts w:ascii="Times New Roman" w:hAnsi="Times New Roman" w:cs="Times New Roman"/>
        </w:rPr>
        <w:t>(a) C1 substrate, (b) C2 substrate</w:t>
      </w:r>
      <w:r>
        <w:rPr>
          <w:rFonts w:ascii="Times New Roman" w:hAnsi="Times New Roman" w:cs="Times New Roman"/>
        </w:rPr>
        <w:t xml:space="preserve">, </w:t>
      </w:r>
      <w:r w:rsidRPr="004F6702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4F6702">
        <w:rPr>
          <w:rFonts w:ascii="Times New Roman" w:hAnsi="Times New Roman" w:cs="Times New Roman"/>
        </w:rPr>
        <w:t>) C1 brick profiles, and (</w:t>
      </w:r>
      <w:r>
        <w:rPr>
          <w:rFonts w:ascii="Times New Roman" w:hAnsi="Times New Roman" w:cs="Times New Roman"/>
        </w:rPr>
        <w:t>d</w:t>
      </w:r>
      <w:r w:rsidRPr="004F6702">
        <w:rPr>
          <w:rFonts w:ascii="Times New Roman" w:hAnsi="Times New Roman" w:cs="Times New Roman"/>
        </w:rPr>
        <w:t xml:space="preserve">) C2 brick </w:t>
      </w:r>
      <w:proofErr w:type="spellStart"/>
      <w:proofErr w:type="gramStart"/>
      <w:r w:rsidRPr="004F6702">
        <w:rPr>
          <w:rFonts w:ascii="Times New Roman" w:hAnsi="Times New Roman" w:cs="Times New Roman"/>
        </w:rPr>
        <w:t>profiles</w:t>
      </w:r>
      <w:r>
        <w:rPr>
          <w:rFonts w:ascii="Times New Roman" w:hAnsi="Times New Roman" w:cs="Times New Roman"/>
        </w:rPr>
        <w:t>.</w:t>
      </w:r>
      <w:r w:rsidRPr="0010675C">
        <w:rPr>
          <w:rFonts w:ascii="Times New Roman" w:hAnsi="Times New Roman" w:cs="Times New Roman"/>
        </w:rPr>
        <w:t>Description</w:t>
      </w:r>
      <w:proofErr w:type="spellEnd"/>
      <w:proofErr w:type="gramEnd"/>
    </w:p>
    <w:sectPr w:rsidR="002227E7" w:rsidRPr="0010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E7"/>
    <w:rsid w:val="0010675C"/>
    <w:rsid w:val="002227E7"/>
    <w:rsid w:val="002464A7"/>
    <w:rsid w:val="005F1244"/>
    <w:rsid w:val="008A167A"/>
    <w:rsid w:val="00BC4CE6"/>
    <w:rsid w:val="00F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8B4A"/>
  <w15:chartTrackingRefBased/>
  <w15:docId w15:val="{8EED4F73-2F06-4573-8CAD-8658F437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ilyas8008@outlook.com</dc:creator>
  <cp:keywords/>
  <dc:description/>
  <cp:lastModifiedBy>Muhammad Asim Kamran</cp:lastModifiedBy>
  <cp:revision>2</cp:revision>
  <dcterms:created xsi:type="dcterms:W3CDTF">2026-07-24T15:57:00Z</dcterms:created>
  <dcterms:modified xsi:type="dcterms:W3CDTF">2026-07-24T15:57:00Z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cc2e9ab2-58c2-4fc2-a5f5-45dc1e5fee8a</vt:lpwstr>
  </property>
</Properties>
</file>