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26FF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Mercato Aste Giudiziarie Immobiliari in Italia</w:t>
      </w:r>
    </w:p>
    <w:p w14:paraId="44B40D4F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Mappa nazionale dei volumi e dove cercare i clienti per External Opinion</w:t>
      </w:r>
    </w:p>
    <w:p w14:paraId="4A6F663E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EE5D6EB">
          <v:rect id="_x0000_i1025" style="width:0;height:1.5pt" o:hralign="center" o:hrstd="t" o:hr="t" fillcolor="#a0a0a0" stroked="f"/>
        </w:pict>
      </w:r>
    </w:p>
    <w:p w14:paraId="2EB22A7F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In sintesi (3 punti)</w:t>
      </w:r>
    </w:p>
    <w:p w14:paraId="0415190A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1. Il volume è al Nord-Ovest e al Centro, concentrato in pochi tribunali ad alto flusso.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Lombardia è prima ogni anno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(~10.000 lotti, ~13% Italia), seguita da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Sicilia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Lazio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Roma è la provincia n.1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Milano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resta tra i primi 5 tribunali.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15 province da sole controllano il 36% di tutti i lotti.</w:t>
      </w:r>
    </w:p>
    <w:p w14:paraId="386E5260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2. Il cliente è cambiato: oggi sono le famiglie (~65%), non più gli investitori.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Comprano online, sono meno esperti, più esposti al rischio — cioè il cliente ideale di External Opinion. Il miglior canale di segnalazione sono i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mediatori creditizi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(Credipass, 24MAX) che già finanziano l'acquisto all'asta fino al 100% e hanno bisogno di chiarezza sul rischio prima dell'offerta.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 tua ipotesi sulla Lombardia è confermata dai numeri.</w:t>
      </w:r>
    </w:p>
    <w:p w14:paraId="7B5AFA1F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3. Il mercato cala nei volumi ma il bacino di compratori si allarga e lo sconto si assottiglia (~15-20%).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Milano e nelle zone pregiate le offerte ormai eguagliano o superano il valore di mercato. Questo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aumenta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valore di un'analisi del rischio indipendente prima dell'offerta, non lo diminuisce.</w:t>
      </w:r>
    </w:p>
    <w:p w14:paraId="6C3A81E0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272E4A3">
          <v:rect id="_x0000_i1026" style="width:0;height:1.5pt" o:hralign="center" o:hrstd="t" o:hr="t" fillcolor="#a0a0a0" stroked="f"/>
        </w:pict>
      </w:r>
    </w:p>
    <w:p w14:paraId="1B957014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I NUMERI — Volumi nazionali</w:t>
      </w:r>
    </w:p>
    <w:p w14:paraId="4EF972ED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 fonti contano in modo diverso (lotti vs vendite programmate vs avvisi pubblicati), quindi il quadro corretto è un intervallo: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817"/>
        <w:gridCol w:w="4268"/>
      </w:tblGrid>
      <w:tr w:rsidR="00390F13" w:rsidRPr="00390F13" w14:paraId="0F1E1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AC8C3" w14:textId="77777777" w:rsidR="00390F13" w:rsidRPr="00390F13" w:rsidRDefault="00390F13" w:rsidP="00390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62B4B26F" w14:textId="77777777" w:rsidR="00390F13" w:rsidRPr="00390F13" w:rsidRDefault="00390F13" w:rsidP="00390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Dato 2024</w:t>
            </w:r>
          </w:p>
        </w:tc>
        <w:tc>
          <w:tcPr>
            <w:tcW w:w="0" w:type="auto"/>
            <w:vAlign w:val="center"/>
            <w:hideMark/>
          </w:tcPr>
          <w:p w14:paraId="492E451C" w14:textId="77777777" w:rsidR="00390F13" w:rsidRPr="00390F13" w:rsidRDefault="00390F13" w:rsidP="00390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Note</w:t>
            </w:r>
          </w:p>
        </w:tc>
      </w:tr>
      <w:tr w:rsidR="00390F13" w:rsidRPr="00390F13" w14:paraId="68A21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5AB3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AstaSy / NPLs RE_Solutions</w:t>
            </w:r>
          </w:p>
        </w:tc>
        <w:tc>
          <w:tcPr>
            <w:tcW w:w="0" w:type="auto"/>
            <w:vAlign w:val="center"/>
            <w:hideMark/>
          </w:tcPr>
          <w:p w14:paraId="10A02E2B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78.477 unità</w:t>
            </w: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immobiliari</w:t>
            </w:r>
          </w:p>
        </w:tc>
        <w:tc>
          <w:tcPr>
            <w:tcW w:w="0" w:type="auto"/>
            <w:vAlign w:val="center"/>
            <w:hideMark/>
          </w:tcPr>
          <w:p w14:paraId="6C17D061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Valore base totale </w:t>
            </w: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€10,9 miliardi</w:t>
            </w: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, −12% sul 2023 (88.174)</w:t>
            </w:r>
          </w:p>
        </w:tc>
      </w:tr>
      <w:tr w:rsidR="00390F13" w:rsidRPr="00390F13" w14:paraId="4A831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E237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Reviva / Immobiliallasta</w:t>
            </w:r>
          </w:p>
        </w:tc>
        <w:tc>
          <w:tcPr>
            <w:tcW w:w="0" w:type="auto"/>
            <w:vAlign w:val="center"/>
            <w:hideMark/>
          </w:tcPr>
          <w:p w14:paraId="7FCD1DF6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121.269 aste</w:t>
            </w: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(vendite programmate)</w:t>
            </w:r>
          </w:p>
        </w:tc>
        <w:tc>
          <w:tcPr>
            <w:tcW w:w="0" w:type="auto"/>
            <w:vAlign w:val="center"/>
            <w:hideMark/>
          </w:tcPr>
          <w:p w14:paraId="7B03593B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−20,4% sul 2023; valore €14,4 mld</w:t>
            </w:r>
          </w:p>
        </w:tc>
      </w:tr>
      <w:tr w:rsidR="00390F13" w:rsidRPr="00390F13" w14:paraId="3AE3C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1EEB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Osservatorio Brick (Berry)</w:t>
            </w:r>
          </w:p>
        </w:tc>
        <w:tc>
          <w:tcPr>
            <w:tcW w:w="0" w:type="auto"/>
            <w:vAlign w:val="center"/>
            <w:hideMark/>
          </w:tcPr>
          <w:p w14:paraId="6AEFD21E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~83.585 avvisi (gen-set 2024)</w:t>
            </w:r>
          </w:p>
        </w:tc>
        <w:tc>
          <w:tcPr>
            <w:tcW w:w="0" w:type="auto"/>
            <w:vAlign w:val="center"/>
            <w:hideMark/>
          </w:tcPr>
          <w:p w14:paraId="0D5CC44F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da PVP, −26% su anno</w:t>
            </w:r>
          </w:p>
        </w:tc>
      </w:tr>
      <w:tr w:rsidR="00390F13" w:rsidRPr="00390F13" w14:paraId="16AD5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0B28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2025 (RINA Prime/AstaSy)</w:t>
            </w:r>
          </w:p>
        </w:tc>
        <w:tc>
          <w:tcPr>
            <w:tcW w:w="0" w:type="auto"/>
            <w:vAlign w:val="center"/>
            <w:hideMark/>
          </w:tcPr>
          <w:p w14:paraId="29B9D606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74.625 unità</w:t>
            </w: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, −4,9%</w:t>
            </w:r>
          </w:p>
        </w:tc>
        <w:tc>
          <w:tcPr>
            <w:tcW w:w="0" w:type="auto"/>
            <w:vAlign w:val="center"/>
            <w:hideMark/>
          </w:tcPr>
          <w:p w14:paraId="59546B83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Il calo sta rallentando → stabilizzazione</w:t>
            </w:r>
          </w:p>
        </w:tc>
      </w:tr>
    </w:tbl>
    <w:p w14:paraId="130004CF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Traduzione pratica: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circa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215 case all'asta al giorno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Italia. Il mercato c'è, è grande, ed è nazionale.</w:t>
      </w:r>
    </w:p>
    <w:p w14:paraId="02C5379E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CBA374D">
          <v:rect id="_x0000_i1027" style="width:0;height:1.5pt" o:hralign="center" o:hrstd="t" o:hr="t" fillcolor="#a0a0a0" stroked="f"/>
        </w:pict>
      </w:r>
    </w:p>
    <w:p w14:paraId="62F367A3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I NUMERI — Dove sono i volumi (regioni)</w:t>
      </w:r>
    </w:p>
    <w:p w14:paraId="2EDBBDBF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Lotti AstaSy, 2024 → 2025: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730"/>
        <w:gridCol w:w="907"/>
        <w:gridCol w:w="3284"/>
      </w:tblGrid>
      <w:tr w:rsidR="00390F13" w:rsidRPr="00390F13" w14:paraId="3A391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B1796" w14:textId="77777777" w:rsidR="00390F13" w:rsidRPr="00390F13" w:rsidRDefault="00390F13" w:rsidP="00390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Regione</w:t>
            </w:r>
          </w:p>
        </w:tc>
        <w:tc>
          <w:tcPr>
            <w:tcW w:w="0" w:type="auto"/>
            <w:vAlign w:val="center"/>
            <w:hideMark/>
          </w:tcPr>
          <w:p w14:paraId="2794AF1C" w14:textId="77777777" w:rsidR="00390F13" w:rsidRPr="00390F13" w:rsidRDefault="00390F13" w:rsidP="00390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E0E81F1" w14:textId="77777777" w:rsidR="00390F13" w:rsidRPr="00390F13" w:rsidRDefault="00390F13" w:rsidP="00390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% Italia</w:t>
            </w:r>
          </w:p>
        </w:tc>
        <w:tc>
          <w:tcPr>
            <w:tcW w:w="0" w:type="auto"/>
            <w:vAlign w:val="center"/>
            <w:hideMark/>
          </w:tcPr>
          <w:p w14:paraId="5D9BB9F0" w14:textId="77777777" w:rsidR="00390F13" w:rsidRPr="00390F13" w:rsidRDefault="00390F13" w:rsidP="00390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2025</w:t>
            </w:r>
          </w:p>
        </w:tc>
      </w:tr>
      <w:tr w:rsidR="00390F13" w:rsidRPr="00390F13" w14:paraId="3CF30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1FFC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Lombardia</w:t>
            </w:r>
          </w:p>
        </w:tc>
        <w:tc>
          <w:tcPr>
            <w:tcW w:w="0" w:type="auto"/>
            <w:vAlign w:val="center"/>
            <w:hideMark/>
          </w:tcPr>
          <w:p w14:paraId="1A57E9FB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10.439</w:t>
            </w:r>
          </w:p>
        </w:tc>
        <w:tc>
          <w:tcPr>
            <w:tcW w:w="0" w:type="auto"/>
            <w:vAlign w:val="center"/>
            <w:hideMark/>
          </w:tcPr>
          <w:p w14:paraId="39B7F715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13,3%</w:t>
            </w:r>
          </w:p>
        </w:tc>
        <w:tc>
          <w:tcPr>
            <w:tcW w:w="0" w:type="auto"/>
            <w:vAlign w:val="center"/>
            <w:hideMark/>
          </w:tcPr>
          <w:p w14:paraId="618EC39C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9.664 (#1 sempre)</w:t>
            </w:r>
          </w:p>
        </w:tc>
      </w:tr>
      <w:tr w:rsidR="00390F13" w:rsidRPr="00390F13" w14:paraId="52805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03C1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Sicilia</w:t>
            </w:r>
          </w:p>
        </w:tc>
        <w:tc>
          <w:tcPr>
            <w:tcW w:w="0" w:type="auto"/>
            <w:vAlign w:val="center"/>
            <w:hideMark/>
          </w:tcPr>
          <w:p w14:paraId="22EAD8AF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9.454</w:t>
            </w:r>
          </w:p>
        </w:tc>
        <w:tc>
          <w:tcPr>
            <w:tcW w:w="0" w:type="auto"/>
            <w:vAlign w:val="center"/>
            <w:hideMark/>
          </w:tcPr>
          <w:p w14:paraId="268775B0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12,1%</w:t>
            </w:r>
          </w:p>
        </w:tc>
        <w:tc>
          <w:tcPr>
            <w:tcW w:w="0" w:type="auto"/>
            <w:vAlign w:val="center"/>
            <w:hideMark/>
          </w:tcPr>
          <w:p w14:paraId="35BA98AF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8.491</w:t>
            </w:r>
          </w:p>
        </w:tc>
      </w:tr>
      <w:tr w:rsidR="00390F13" w:rsidRPr="00390F13" w14:paraId="7E52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E9DF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Lazio</w:t>
            </w:r>
          </w:p>
        </w:tc>
        <w:tc>
          <w:tcPr>
            <w:tcW w:w="0" w:type="auto"/>
            <w:vAlign w:val="center"/>
            <w:hideMark/>
          </w:tcPr>
          <w:p w14:paraId="2E20CD3B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7.625</w:t>
            </w:r>
          </w:p>
        </w:tc>
        <w:tc>
          <w:tcPr>
            <w:tcW w:w="0" w:type="auto"/>
            <w:vAlign w:val="center"/>
            <w:hideMark/>
          </w:tcPr>
          <w:p w14:paraId="3B6E1345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9,7%</w:t>
            </w:r>
          </w:p>
        </w:tc>
        <w:tc>
          <w:tcPr>
            <w:tcW w:w="0" w:type="auto"/>
            <w:vAlign w:val="center"/>
            <w:hideMark/>
          </w:tcPr>
          <w:p w14:paraId="08E618CF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6.290</w:t>
            </w:r>
          </w:p>
        </w:tc>
      </w:tr>
      <w:tr w:rsidR="00390F13" w:rsidRPr="00390F13" w14:paraId="11853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90B8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Campania</w:t>
            </w:r>
          </w:p>
        </w:tc>
        <w:tc>
          <w:tcPr>
            <w:tcW w:w="0" w:type="auto"/>
            <w:vAlign w:val="center"/>
            <w:hideMark/>
          </w:tcPr>
          <w:p w14:paraId="0124B5A5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5.655</w:t>
            </w:r>
          </w:p>
        </w:tc>
        <w:tc>
          <w:tcPr>
            <w:tcW w:w="0" w:type="auto"/>
            <w:vAlign w:val="center"/>
            <w:hideMark/>
          </w:tcPr>
          <w:p w14:paraId="78592366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7,2%</w:t>
            </w:r>
          </w:p>
        </w:tc>
        <w:tc>
          <w:tcPr>
            <w:tcW w:w="0" w:type="auto"/>
            <w:vAlign w:val="center"/>
            <w:hideMark/>
          </w:tcPr>
          <w:p w14:paraId="0EB0038F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—</w:t>
            </w:r>
          </w:p>
        </w:tc>
      </w:tr>
      <w:tr w:rsidR="00390F13" w:rsidRPr="00390F13" w14:paraId="52FE3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39D7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Marche</w:t>
            </w:r>
          </w:p>
        </w:tc>
        <w:tc>
          <w:tcPr>
            <w:tcW w:w="0" w:type="auto"/>
            <w:vAlign w:val="center"/>
            <w:hideMark/>
          </w:tcPr>
          <w:p w14:paraId="43F6B2DD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5.618</w:t>
            </w:r>
          </w:p>
        </w:tc>
        <w:tc>
          <w:tcPr>
            <w:tcW w:w="0" w:type="auto"/>
            <w:vAlign w:val="center"/>
            <w:hideMark/>
          </w:tcPr>
          <w:p w14:paraId="6A38A63E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7,2%</w:t>
            </w:r>
          </w:p>
        </w:tc>
        <w:tc>
          <w:tcPr>
            <w:tcW w:w="0" w:type="auto"/>
            <w:vAlign w:val="center"/>
            <w:hideMark/>
          </w:tcPr>
          <w:p w14:paraId="1A4E9030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6.196 (in crescita)</w:t>
            </w:r>
          </w:p>
        </w:tc>
      </w:tr>
      <w:tr w:rsidR="00390F13" w:rsidRPr="00390F13" w14:paraId="37885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A160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Toscana</w:t>
            </w:r>
          </w:p>
        </w:tc>
        <w:tc>
          <w:tcPr>
            <w:tcW w:w="0" w:type="auto"/>
            <w:vAlign w:val="center"/>
            <w:hideMark/>
          </w:tcPr>
          <w:p w14:paraId="6259D01E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~5.440</w:t>
            </w:r>
          </w:p>
        </w:tc>
        <w:tc>
          <w:tcPr>
            <w:tcW w:w="0" w:type="auto"/>
            <w:vAlign w:val="center"/>
            <w:hideMark/>
          </w:tcPr>
          <w:p w14:paraId="2A91ECA3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7,2%</w:t>
            </w:r>
          </w:p>
        </w:tc>
        <w:tc>
          <w:tcPr>
            <w:tcW w:w="0" w:type="auto"/>
            <w:vAlign w:val="center"/>
            <w:hideMark/>
          </w:tcPr>
          <w:p w14:paraId="3B2FE59C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—</w:t>
            </w:r>
          </w:p>
        </w:tc>
      </w:tr>
      <w:tr w:rsidR="00390F13" w:rsidRPr="00390F13" w14:paraId="4169B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B9D7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Piemonte</w:t>
            </w:r>
          </w:p>
        </w:tc>
        <w:tc>
          <w:tcPr>
            <w:tcW w:w="0" w:type="auto"/>
            <w:vAlign w:val="center"/>
            <w:hideMark/>
          </w:tcPr>
          <w:p w14:paraId="1CE31B30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96CF1D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945ABB" w14:textId="77777777" w:rsidR="00390F13" w:rsidRPr="00390F13" w:rsidRDefault="00390F13" w:rsidP="00390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0F13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4.556 (6,1%, dall'11° al 7° posto)</w:t>
            </w:r>
          </w:p>
        </w:tc>
      </w:tr>
    </w:tbl>
    <w:p w14:paraId="0FC148C7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5 regioni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(Lombardia, Sicilia, Lazio, Campania, Toscana) tengono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~50% di tutti i lotti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Macro-aree 2024: Nord 32,4% · Centro 31,2% · Sud 20,1% · Isole 16,4%.</w:t>
      </w:r>
    </w:p>
    <w:p w14:paraId="0511B9B0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3EE86901">
          <v:rect id="_x0000_i1028" style="width:0;height:1.5pt" o:hralign="center" o:hrstd="t" o:hr="t" fillcolor="#a0a0a0" stroked="f"/>
        </w:pict>
      </w:r>
    </w:p>
    <w:p w14:paraId="140D3BAE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I NUMERI — Dove deployare davvero (province/tribunali)</w:t>
      </w:r>
    </w:p>
    <w:p w14:paraId="5AB7322A" w14:textId="77777777" w:rsidR="00390F13" w:rsidRPr="00390F13" w:rsidRDefault="00390F13" w:rsidP="00390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Roma = provincia n.1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(4.947 lotti 2024; valore medio €217.391). Tribunale di Roma il più attivo (3.389 avvisi gen-set 2024).</w:t>
      </w:r>
    </w:p>
    <w:p w14:paraId="410C58B0" w14:textId="77777777" w:rsidR="00390F13" w:rsidRPr="00390F13" w:rsidRDefault="00390F13" w:rsidP="00390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Milano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5°-6° provincia (~2.021 lotti) ma top-5 tribunale, e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+52% nei primi 9 mesi 2024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mentre l'Italia calava. Valore medio €180.246.</w:t>
      </w:r>
    </w:p>
    <w:p w14:paraId="11B33334" w14:textId="77777777" w:rsidR="00390F13" w:rsidRPr="00390F13" w:rsidRDefault="00390F13" w:rsidP="00390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Cagliari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valore medio altissimo (~€650.801/asta).</w:t>
      </w:r>
    </w:p>
    <w:p w14:paraId="22C00E82" w14:textId="77777777" w:rsidR="00390F13" w:rsidRPr="00390F13" w:rsidRDefault="00390F13" w:rsidP="00390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Altri tribunali caldi: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Brescia, Bergamo, Catania, Perugia, Cosenza, Macerata, Napoli, Torino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CF9690B" w14:textId="77777777" w:rsidR="00390F13" w:rsidRPr="00390F13" w:rsidRDefault="00390F13" w:rsidP="00390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15 province controllano il 36% del volume nazionale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un set piccolo e mirabile.</w:t>
      </w:r>
    </w:p>
    <w:p w14:paraId="473FA057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51111B8">
          <v:rect id="_x0000_i1029" style="width:0;height:1.5pt" o:hralign="center" o:hrstd="t" o:hr="t" fillcolor="#a0a0a0" stroked="f"/>
        </w:pict>
      </w:r>
    </w:p>
    <w:p w14:paraId="6EF6FF2C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I NUMERI — Il cliente è cambiato</w:t>
      </w:r>
    </w:p>
    <w:p w14:paraId="14A82576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Dato Simplex Domus (giugno 2026), su campione di 5.000 lotti residenziali:</w:t>
      </w:r>
    </w:p>
    <w:p w14:paraId="11B1D7B1" w14:textId="77777777" w:rsidR="00390F13" w:rsidRPr="00390F13" w:rsidRDefault="00390F13" w:rsidP="00390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Famiglie = 65% dei compratori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(nel 2024 era 50/50 con gli investitori). Le famiglie hanno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sorpassato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gli investitori.</w:t>
      </w:r>
    </w:p>
    <w:p w14:paraId="6EAC6123" w14:textId="77777777" w:rsidR="00390F13" w:rsidRPr="00390F13" w:rsidRDefault="00390F13" w:rsidP="00390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Solo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35%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delle aste nasce da mutui non pagati; ~30% da altri debiti, ~30% da divorzi/eredità, ~5% fisco.</w:t>
      </w:r>
    </w:p>
    <w:p w14:paraId="661772A0" w14:textId="77777777" w:rsidR="00390F13" w:rsidRPr="00390F13" w:rsidRDefault="00390F13" w:rsidP="00390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~65% delle aste è ora totalmente online.</w:t>
      </w:r>
    </w:p>
    <w:p w14:paraId="2C954828" w14:textId="77777777" w:rsidR="00390F13" w:rsidRPr="00390F13" w:rsidRDefault="00390F13" w:rsidP="00390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Residenziale = ~54% dei lotti;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91% dei lotti vale meno di €250.000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base media residenziale ~€127.000.</w:t>
      </w:r>
    </w:p>
    <w:p w14:paraId="75FDECD0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Perché conta per te: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compratore-famiglia è meno esperto, compra online senza vedere bene, e rischia di più. È esattamente chi ha bisogno del tuo report.</w:t>
      </w:r>
    </w:p>
    <w:p w14:paraId="2972CFF0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2AE1AF30">
          <v:rect id="_x0000_i1030" style="width:0;height:1.5pt" o:hralign="center" o:hrstd="t" o:hr="t" fillcolor="#a0a0a0" stroked="f"/>
        </w:pict>
      </w:r>
    </w:p>
    <w:p w14:paraId="34A00514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I NUMERI — Lo sconto si assottiglia (e ti dà valore)</w:t>
      </w:r>
    </w:p>
    <w:p w14:paraId="79EF9067" w14:textId="77777777" w:rsidR="00390F13" w:rsidRPr="00390F13" w:rsidRDefault="00390F13" w:rsidP="00390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Sconto reale aggiudicazione vs mercato: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~15-20%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(non più il vecchio 30%).</w:t>
      </w:r>
    </w:p>
    <w:p w14:paraId="7683ABD6" w14:textId="77777777" w:rsidR="00390F13" w:rsidRPr="00390F13" w:rsidRDefault="00390F13" w:rsidP="00390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Milano, Monza e città turistiche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 prezzi "talvolta superano il valore di mercato" (Morana, AD NPLs RE_Solutions).</w:t>
      </w:r>
    </w:p>
    <w:p w14:paraId="34642AA7" w14:textId="77777777" w:rsidR="00390F13" w:rsidRPr="00390F13" w:rsidRDefault="00390F13" w:rsidP="00390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Margine sottile =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un solo costo nascosto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(occupazione, abuso edilizio, debiti condominiali, manca agibilità)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azzera tutto il vantaggio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Questo è il cuore del valore di External Opinion.</w:t>
      </w:r>
    </w:p>
    <w:p w14:paraId="01C51087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2F0A9B48">
          <v:rect id="_x0000_i1031" style="width:0;height:1.5pt" o:hralign="center" o:hrstd="t" o:hr="t" fillcolor="#a0a0a0" stroked="f"/>
        </w:pict>
      </w:r>
    </w:p>
    <w:p w14:paraId="0017C5F1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Il canale n.1: mediatori creditizi (la tua ipotesi Lombardia)</w:t>
      </w:r>
    </w:p>
    <w:p w14:paraId="2B115930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Confermata dai numeri.</w:t>
      </w:r>
    </w:p>
    <w:p w14:paraId="53975E79" w14:textId="77777777" w:rsidR="00390F13" w:rsidRPr="00390F13" w:rsidRDefault="00390F13" w:rsidP="00390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OAM (registro vigilato Banca d'Italia): ~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9.070 agenti+mediatori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iscritti H1 2024, collaboratori a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20.796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110213B" w14:textId="77777777" w:rsidR="00390F13" w:rsidRPr="00390F13" w:rsidRDefault="00390F13" w:rsidP="00390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 Lombardia ha la più alta concentrazione regionale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(~11-13% degli iscritti, massima densità di mediatori creditizi).</w:t>
      </w:r>
    </w:p>
    <w:p w14:paraId="12D7D1B7" w14:textId="77777777" w:rsidR="00390F13" w:rsidRPr="00390F13" w:rsidRDefault="00390F13" w:rsidP="00390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 broker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servono già i compratori d'asta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</w:p>
    <w:p w14:paraId="7C9527ED" w14:textId="77777777" w:rsidR="00390F13" w:rsidRPr="00390F13" w:rsidRDefault="00390F13" w:rsidP="00390F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Credipass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(350 uffici, 800+ consulenti, 80+ accordi bancari) ha il prodotto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"Mutuo Business Aste"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390F13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finanziamento fino al 100% del prezzo di aggiudicazione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in partnership con il franchising aste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InZona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("copriamo il 100% dell'investimento").</w:t>
      </w:r>
    </w:p>
    <w:p w14:paraId="0129B61F" w14:textId="77777777" w:rsidR="00390F13" w:rsidRPr="00390F13" w:rsidRDefault="00390F13" w:rsidP="00390F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24MAX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(gruppo RE/MAX): +44,6% di pratiche nel 2025, 1.729 operazioni di mutuo, €231,3 mln, 134 specialisti del credito.</w:t>
      </w:r>
    </w:p>
    <w:p w14:paraId="383C8307" w14:textId="77777777" w:rsidR="00390F13" w:rsidRPr="00390F13" w:rsidRDefault="00390F13" w:rsidP="00390F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Anche MutuiOnline, Banco BPM, UniCredit, Intesa hanno prodotti mutuo-asta dedicati.</w:t>
      </w:r>
    </w:p>
    <w:p w14:paraId="047B6D21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Perché è oro per te: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 banca presta fino all'80% del valore della perizia. Un difetto nascosto minaccia il finanziamento. Il tuo report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protegge il prestito del mediatore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prima che il cliente faccia l'offerta. Partnership naturale: report co-brandizzato o a prezzo B2B.</w:t>
      </w:r>
    </w:p>
    <w:p w14:paraId="0E1631CE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4F3E0A3">
          <v:rect id="_x0000_i1032" style="width:0;height:1.5pt" o:hralign="center" o:hrstd="t" o:hr="t" fillcolor="#a0a0a0" stroked="f"/>
        </w:pict>
      </w:r>
    </w:p>
    <w:p w14:paraId="048162C3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Gli altri canali (in ordine di leva)</w:t>
      </w:r>
    </w:p>
    <w:p w14:paraId="72B68BC8" w14:textId="77777777" w:rsidR="00390F13" w:rsidRPr="00390F13" w:rsidRDefault="00390F13" w:rsidP="00390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(B) Studi legali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specializzati in esecuzioni/procedure concorsuali — forti sul legale, deboli sul tecnico → partner complementare.</w:t>
      </w:r>
    </w:p>
    <w:p w14:paraId="601D79A8" w14:textId="77777777" w:rsidR="00390F13" w:rsidRPr="00390F13" w:rsidRDefault="00390F13" w:rsidP="00390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(C) Delegati alle vendite &amp; custodi giudiziari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sono il contatto su ogni annuncio PVP, rispondono alle domande dei compratori. Massimo contatto ma ruolo neutro → meglio come nodi di relazione che come segnalatori pagati.</w:t>
      </w:r>
    </w:p>
    <w:p w14:paraId="65D10190" w14:textId="77777777" w:rsidR="00390F13" w:rsidRPr="00390F13" w:rsidRDefault="00390F13" w:rsidP="00390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(D) Agenzie/franchising specializzati aste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(InZona, Aste RE, Soluzione Aste) — partner o "coopetizione".</w:t>
      </w:r>
    </w:p>
    <w:p w14:paraId="1E35E1DB" w14:textId="77777777" w:rsidR="00390F13" w:rsidRPr="00390F13" w:rsidRDefault="00390F13" w:rsidP="00390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(E) Commercialisti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gestiscono liquidazioni concorsuali — secondario.</w:t>
      </w:r>
    </w:p>
    <w:p w14:paraId="142661A8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5AFDB1FE">
          <v:rect id="_x0000_i1033" style="width:0;height:1.5pt" o:hralign="center" o:hrstd="t" o:hr="t" fillcolor="#a0a0a0" stroked="f"/>
        </w:pict>
      </w:r>
    </w:p>
    <w:p w14:paraId="1F7D2E5E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Dove cercano i compratori (dove devi esserci)</w:t>
      </w:r>
    </w:p>
    <w:p w14:paraId="206898CD" w14:textId="77777777" w:rsidR="00390F13" w:rsidRPr="00390F13" w:rsidRDefault="00390F13" w:rsidP="0039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PVP obbligatorio (pvp.giustizia.it) + portali: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Astalegale.net/Spazioaste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(leader dal 1995),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Astegiudiziarie.it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Immobiliallasta/Reviva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Idealista aste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Immobiliare.it aste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Asteannunci, Portaleaste, Fallco Aste. Più gruppi Facebook aste e LinkedIn (molti profili "Consulente Aste Immobiliari").</w:t>
      </w:r>
    </w:p>
    <w:p w14:paraId="67BAC357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51A242E0">
          <v:rect id="_x0000_i1034" style="width:0;height:1.5pt" o:hralign="center" o:hrstd="t" o:hr="t" fillcolor="#a0a0a0" stroked="f"/>
        </w:pict>
      </w:r>
    </w:p>
    <w:p w14:paraId="02E4DCC4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La concorrenza (lato compratore)</w:t>
      </w:r>
    </w:p>
    <w:p w14:paraId="20F5FDDB" w14:textId="77777777" w:rsidR="00390F13" w:rsidRPr="00390F13" w:rsidRDefault="00390F13" w:rsidP="00390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Consulenze full-service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Dove.it, Aste Florio, Case-Asta, Astafox, Valore Aggiunto. Pacchetto completo perizia + ispezioni + sopralluogo + offerta + post-asta. Prezzo: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3% del prezzo base sull'aggiudicazione (min €2.500), fino a 4-6%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8188C4F" w14:textId="77777777" w:rsidR="00390F13" w:rsidRPr="00390F13" w:rsidRDefault="00390F13" w:rsidP="00390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Il tuo benchmark diretto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AsteSenzaRischi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(architetto + CTU Tribunale Torino, nazionale, solo online, base minima immobile €150.000) — fa esattamente il report pre-offerta "rischi, opportunità, stima costi, offerta massima" e dice "se non conviene, te lo dico".</w:t>
      </w:r>
    </w:p>
    <w:p w14:paraId="00CB83B3" w14:textId="77777777" w:rsidR="00390F13" w:rsidRPr="00390F13" w:rsidRDefault="00390F13" w:rsidP="00390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Il buco di mercato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gli operatori sono o avvocati (forti sul legale) o agenzie (spinte dalla commissione, ti incentivano a fare l'offerta).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Manca un diagnostico tecnico, indipendente, a tariffa fissa, solo pre-offerta, senza conflitto d'interesse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Quello sei tu.</w:t>
      </w:r>
    </w:p>
    <w:p w14:paraId="1A882B11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58EC70E7">
          <v:rect id="_x0000_i1035" style="width:0;height:1.5pt" o:hralign="center" o:hrstd="t" o:hr="t" fillcolor="#a0a0a0" stroked="f"/>
        </w:pict>
      </w:r>
    </w:p>
    <w:p w14:paraId="74E8F820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RACCOMANDAZIONE — Dove andare, in ordine</w:t>
      </w:r>
    </w:p>
    <w:p w14:paraId="2883DDDF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Fase 1 (0-6 mesi) — Prodotto + canale a massima leva</w:t>
      </w:r>
    </w:p>
    <w:p w14:paraId="65E38801" w14:textId="77777777" w:rsidR="00390F13" w:rsidRPr="00390F13" w:rsidRDefault="00390F13" w:rsidP="00390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Lancia un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report diagnostico pre-offerta a tariffa fissa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consigliato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€300-€900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scaglioni per valore/complessità. Online, nazionale, esplicitamente indipendente (niente servizio d'offerta, niente commissione). Ti distingue dal 3-6% delle agenzie.</w:t>
      </w:r>
    </w:p>
    <w:p w14:paraId="64E57FF4" w14:textId="77777777" w:rsidR="00390F13" w:rsidRPr="00390F13" w:rsidRDefault="00390F13" w:rsidP="00390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Apri il canale mediatori creditizi in Lombardia per primo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(ipotesi validata): accordi white-label/segnalazione con reti attive sui mutui-asta (tipo Credipass/InZona, 24MAX). Pitch: il mio report protegge il tuo loan-to-value e riduce le pratiche che saltano.</w:t>
      </w:r>
    </w:p>
    <w:p w14:paraId="536A9B91" w14:textId="77777777" w:rsidR="00390F13" w:rsidRPr="00390F13" w:rsidRDefault="00390F13" w:rsidP="00390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Soglia per cambiare rotta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se in 6 mesi i partner Lombardia danno &lt;1 segnalazione qualificata per partner a trimestre → allarga a studi legali e SEO diretta.</w:t>
      </w:r>
    </w:p>
    <w:p w14:paraId="3BDEE10B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Fase 2 (6-18 mesi) — Scala per i numeri, non per dove vivi</w:t>
      </w:r>
    </w:p>
    <w:p w14:paraId="706C34E4" w14:textId="77777777" w:rsidR="00390F13" w:rsidRPr="00390F13" w:rsidRDefault="00390F13" w:rsidP="00390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Priorità tribunali per volume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tier-1 = Roma, Milano, Brescia, Bergamo, Monza, Catania, Torino, Cagliari, Napoli. Tier-2 = Perugia, Cosenza, Macerata, Palermo, e Bologna/Modena (casa tua, ma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una tra tante, non il focus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</w:t>
      </w:r>
    </w:p>
    <w:p w14:paraId="0235FD20" w14:textId="77777777" w:rsidR="00390F13" w:rsidRPr="00390F13" w:rsidRDefault="00390F13" w:rsidP="00390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 parole chiave ad alta intenzione: perizia CTU, rischi asta, immobile occupato, abusi edilizi asta, costi nascosti. + funnel con lead-magnet gratuito (mini-guida costi nascosti).</w:t>
      </w:r>
    </w:p>
    <w:p w14:paraId="6C3C767C" w14:textId="77777777" w:rsidR="00390F13" w:rsidRPr="00390F13" w:rsidRDefault="00390F13" w:rsidP="00390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Presenza sui portali PVP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come partner/inserzionista nel momento dell'intenzione d'acquisto.</w:t>
      </w:r>
    </w:p>
    <w:p w14:paraId="669A6649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Fase 3 (18+ mesi) — Difendibilità</w:t>
      </w:r>
    </w:p>
    <w:p w14:paraId="4C52FD5F" w14:textId="77777777" w:rsidR="00390F13" w:rsidRPr="00390F13" w:rsidRDefault="00390F13" w:rsidP="00390F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Rete nazionale di intermediari (broker + studi legali) con SLA standard.</w:t>
      </w:r>
    </w:p>
    <w:p w14:paraId="26CF1335" w14:textId="77777777" w:rsidR="00390F13" w:rsidRPr="00390F13" w:rsidRDefault="00390F13" w:rsidP="00390F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Monitora il pipeline NPL/concorsuale 2026+ (deterioramento imprese in salita, liquidazioni giudiziali da ~120 a ~1.600/1.900 nel 2024). Se i volumi tornano a salire, aumenta capacità prima al Nord-Ovest e Centro.</w:t>
      </w:r>
    </w:p>
    <w:p w14:paraId="7120AF18" w14:textId="77777777" w:rsidR="00390F13" w:rsidRPr="00390F13" w:rsidRDefault="00390F13" w:rsidP="00390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1B42C7B">
          <v:rect id="_x0000_i1036" style="width:0;height:1.5pt" o:hralign="center" o:hrstd="t" o:hr="t" fillcolor="#a0a0a0" stroked="f"/>
        </w:pict>
      </w:r>
    </w:p>
    <w:p w14:paraId="0DEA1991" w14:textId="77777777" w:rsidR="00390F13" w:rsidRPr="00390F13" w:rsidRDefault="00390F13" w:rsidP="00390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Avvertenze sui dati</w:t>
      </w:r>
    </w:p>
    <w:p w14:paraId="68E38E3D" w14:textId="77777777" w:rsidR="00390F13" w:rsidRPr="00390F13" w:rsidRDefault="00390F13" w:rsidP="00390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Le fonti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contano in modo diverso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(lotti vs vendite vs avvisi): 74.000-78.000 (unità) e ~121.000 (vendite programmate) sono entrambi corretti, ma non vanno confusi.</w:t>
      </w:r>
    </w:p>
    <w:p w14:paraId="7CD4ADB2" w14:textId="77777777" w:rsidR="00390F13" w:rsidRPr="00390F13" w:rsidRDefault="00390F13" w:rsidP="00390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65% famiglie viene da una sola fonte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(Simplex Domus, 2026): coerente con la tendenza ma non consenso multi-fonte. Indicativo.</w:t>
      </w:r>
    </w:p>
    <w:p w14:paraId="06188951" w14:textId="77777777" w:rsidR="00390F13" w:rsidRPr="00390F13" w:rsidRDefault="00390F13" w:rsidP="00390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Lo </w:t>
      </w: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sconto varia (15-30%)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si erode nelle zone pregiate; "a Milano le offerte superano il mercato" è qualitativo.</w:t>
      </w:r>
    </w:p>
    <w:p w14:paraId="7658A171" w14:textId="77777777" w:rsidR="00390F13" w:rsidRPr="00390F13" w:rsidRDefault="00390F13" w:rsidP="00390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0F1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Nessun ente pubblica</w:t>
      </w:r>
      <w:r w:rsidRPr="00390F1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numero di mutui erogati specificamente per acquisti all'asta: la dimensione del canale mediatori è dedotta da dati di rete e prodotti, non da statistica ufficiale.</w:t>
      </w:r>
    </w:p>
    <w:p w14:paraId="6913EB60" w14:textId="77777777" w:rsidR="003E289D" w:rsidRDefault="003E289D"/>
    <w:sectPr w:rsidR="003E28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854"/>
    <w:multiLevelType w:val="multilevel"/>
    <w:tmpl w:val="2B8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35A6F"/>
    <w:multiLevelType w:val="multilevel"/>
    <w:tmpl w:val="23F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20CFF"/>
    <w:multiLevelType w:val="multilevel"/>
    <w:tmpl w:val="AD60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06239"/>
    <w:multiLevelType w:val="multilevel"/>
    <w:tmpl w:val="EBE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D7E0E"/>
    <w:multiLevelType w:val="multilevel"/>
    <w:tmpl w:val="441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83F91"/>
    <w:multiLevelType w:val="multilevel"/>
    <w:tmpl w:val="C6D0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10F3E"/>
    <w:multiLevelType w:val="multilevel"/>
    <w:tmpl w:val="D0E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5728F"/>
    <w:multiLevelType w:val="multilevel"/>
    <w:tmpl w:val="45D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4656A"/>
    <w:multiLevelType w:val="multilevel"/>
    <w:tmpl w:val="C89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70AC8"/>
    <w:multiLevelType w:val="multilevel"/>
    <w:tmpl w:val="750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650239">
    <w:abstractNumId w:val="3"/>
  </w:num>
  <w:num w:numId="2" w16cid:durableId="2052730040">
    <w:abstractNumId w:val="4"/>
  </w:num>
  <w:num w:numId="3" w16cid:durableId="1457410829">
    <w:abstractNumId w:val="7"/>
  </w:num>
  <w:num w:numId="4" w16cid:durableId="1879510706">
    <w:abstractNumId w:val="5"/>
  </w:num>
  <w:num w:numId="5" w16cid:durableId="278689220">
    <w:abstractNumId w:val="9"/>
  </w:num>
  <w:num w:numId="6" w16cid:durableId="670644164">
    <w:abstractNumId w:val="2"/>
  </w:num>
  <w:num w:numId="7" w16cid:durableId="936524650">
    <w:abstractNumId w:val="0"/>
  </w:num>
  <w:num w:numId="8" w16cid:durableId="826628851">
    <w:abstractNumId w:val="1"/>
  </w:num>
  <w:num w:numId="9" w16cid:durableId="1317144337">
    <w:abstractNumId w:val="8"/>
  </w:num>
  <w:num w:numId="10" w16cid:durableId="1674528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9D"/>
    <w:rsid w:val="001D1FEF"/>
    <w:rsid w:val="00390F13"/>
    <w:rsid w:val="003E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A2CBA5-03E8-4372-8F04-600E9632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E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E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E2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E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E2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E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E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E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E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E2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E2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E2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E289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E289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E289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E289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E289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E289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E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E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E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E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E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E289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E289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E289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E2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E289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E2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1338</Words>
  <Characters>7628</Characters>
  <Application>Microsoft Office Word</Application>
  <DocSecurity>0</DocSecurity>
  <Lines>63</Lines>
  <Paragraphs>17</Paragraphs>
  <ScaleCrop>false</ScaleCrop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azzali</dc:creator>
  <cp:keywords/>
  <dc:description/>
  <cp:lastModifiedBy>simone azzali</cp:lastModifiedBy>
  <cp:revision>2</cp:revision>
  <dcterms:created xsi:type="dcterms:W3CDTF">2026-06-19T19:48:00Z</dcterms:created>
  <dcterms:modified xsi:type="dcterms:W3CDTF">2026-06-19T19:49:00Z</dcterms:modified>
</cp:coreProperties>
</file>