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Breach Notification Policy</w:t>
      </w:r>
    </w:p>
    <w:p>
      <w:r>
        <w:t xml:space="preserve">**Effective Date:** [Insert Date]  </w:t>
      </w:r>
    </w:p>
    <w:p>
      <w:r>
        <w:t xml:space="preserve">**Approved By:** [Insert Approving Authority]  </w:t>
      </w:r>
    </w:p>
    <w:p>
      <w:r>
        <w:t>**Review Cycle:** Annually or as required by law</w:t>
      </w:r>
    </w:p>
    <w:p>
      <w:r>
        <w:br/>
      </w:r>
    </w:p>
    <w:p>
      <w:pPr>
        <w:pStyle w:val="Heading2"/>
      </w:pPr>
      <w:r>
        <w:t>1. Purpose</w:t>
      </w:r>
    </w:p>
    <w:p>
      <w:r>
        <w:t xml:space="preserve">This Policy establishes the procedures and legal obligations for Oakville HealthCare Provider (“OHP”) to notify affected individuals, the Office of the Privacy Commissioner of Canada (“OPC”), and other relevant parties in the event of a breach of security safeguards involving personal information under the Personal Information Protection and Electronic Documents Act (“PIPEDA”), specifically s.10.1(3)-(6).  </w:t>
      </w:r>
    </w:p>
    <w:p>
      <w:r>
        <w:t>**Note:** OHP processes and stores highly sensitive personal information, including but not limited to full names, dates of birth, addresses, email addresses, phone numbers, driver’s license numbers, tax IDs, financial account details, and credit card numbers. These data elements are regulated under PIPEDA, GDPR, the Australian Privacy Act, CCPA/CPRA, and PCI DSS, each imposing strict notification and security requirements. (Source: cybersecai.io platform, see Data Risk Analysis below.)</w:t>
      </w:r>
    </w:p>
    <w:p>
      <w:r>
        <w:br/>
      </w:r>
    </w:p>
    <w:p>
      <w:pPr>
        <w:pStyle w:val="Heading2"/>
      </w:pPr>
      <w:r>
        <w:t>2. Scope</w:t>
      </w:r>
    </w:p>
    <w:p>
      <w:r>
        <w:t>This Policy applies to all OHP employees, contractors, and agents who handle personal information in the course of their duties, including data subject to international privacy regimes (GDPR, Australian Privacy Act, CCPA/CPRA, PCI DSS) as identified by cybersecai.io.</w:t>
      </w:r>
    </w:p>
    <w:p>
      <w:r>
        <w:br/>
      </w:r>
    </w:p>
    <w:p>
      <w:pPr>
        <w:pStyle w:val="Heading2"/>
      </w:pPr>
      <w:r>
        <w:t>3. Definitions</w:t>
      </w:r>
    </w:p>
    <w:p>
      <w:pPr>
        <w:pStyle w:val="ListBullet"/>
      </w:pPr>
      <w:r>
        <w:t>**Breach of Security Safeguards:** Loss of, unauthorized access to, or unauthorized disclosure of personal information resulting from a breach of OHP’s security safeguards or from a failure to establish those safeguards (PIPEDA, s.10.1(1)).</w:t>
      </w:r>
    </w:p>
    <w:p>
      <w:pPr>
        <w:pStyle w:val="ListBullet"/>
      </w:pPr>
      <w:r>
        <w:t>**Significant Harm:** Includes bodily harm, humiliation, damage to reputation or relationships, loss of employment, business or professional opportunities, financial loss, identity theft, negative effects on credit record, and damage to or loss of property (PIPEDA, s.10.1(7)).</w:t>
      </w:r>
    </w:p>
    <w:p>
      <w:pPr>
        <w:pStyle w:val="ListBullet"/>
      </w:pPr>
      <w:r>
        <w:t>**Highly Sensitive Data:** As identified by cybersecai.io, includes full name, date of birth, address, email address, phone number, driver’s license number, tax ID, bank account number, credit card number, login credentials, and device IDs. These are subject to enhanced security and breach notification obligations under multiple global privacy standards.</w:t>
      </w:r>
    </w:p>
    <w:p>
      <w:r>
        <w:br/>
      </w:r>
    </w:p>
    <w:p>
      <w:pPr>
        <w:pStyle w:val="Heading2"/>
      </w:pPr>
      <w:r>
        <w:t>4. Responsibilities</w:t>
      </w:r>
    </w:p>
    <w:p>
      <w:pPr>
        <w:pStyle w:val="ListBullet"/>
      </w:pPr>
      <w:r>
        <w:rPr>
          <w:b/>
        </w:rPr>
        <w:t>Privacy Officer:</w:t>
      </w:r>
    </w:p>
    <w:p>
      <w:pPr>
        <w:pStyle w:val="ListBullet2"/>
      </w:pPr>
      <w:r>
        <w:t>Oversees breach assessment, notification, and reporting.</w:t>
      </w:r>
    </w:p>
    <w:p>
      <w:pPr>
        <w:pStyle w:val="ListBullet2"/>
      </w:pPr>
      <w:r>
        <w:t>Maintains records of all breaches as required by PIPEDA, s.10.3.</w:t>
      </w:r>
    </w:p>
    <w:p>
      <w:pPr>
        <w:pStyle w:val="ListBullet2"/>
      </w:pPr>
      <w:r>
        <w:t>Ensures compliance with international notification requirements where applicable (GDPR Art. 33, CCPA §1798.82, Australian Privacy Act Part IIIC, PCI DSS 12.10).</w:t>
      </w:r>
    </w:p>
    <w:p>
      <w:pPr>
        <w:pStyle w:val="ListBullet"/>
      </w:pPr>
      <w:r>
        <w:rPr>
          <w:b/>
        </w:rPr>
        <w:t>All Staff:</w:t>
      </w:r>
    </w:p>
    <w:p>
      <w:pPr>
        <w:pStyle w:val="ListBullet2"/>
      </w:pPr>
      <w:r>
        <w:t>Immediately report suspected or actual breaches to the Privacy Officer.</w:t>
      </w:r>
    </w:p>
    <w:p>
      <w:r>
        <w:br/>
      </w:r>
    </w:p>
    <w:p>
      <w:pPr>
        <w:pStyle w:val="Heading2"/>
      </w:pPr>
      <w:r>
        <w:t>5. Breach Assessment and Notification Process</w:t>
      </w:r>
    </w:p>
    <w:p>
      <w:pPr>
        <w:pStyle w:val="Heading3"/>
      </w:pPr>
      <w:r>
        <w:t>5.1. Breach Identification and Containment</w:t>
      </w:r>
    </w:p>
    <w:p>
      <w:pPr>
        <w:pStyle w:val="ListBullet"/>
      </w:pPr>
      <w:r>
        <w:t>**Immediate Action:** Upon discovery or suspicion of a breach, staff must immediately notify the Privacy Officer.</w:t>
      </w:r>
    </w:p>
    <w:p>
      <w:pPr>
        <w:pStyle w:val="ListBullet"/>
      </w:pPr>
      <w:r>
        <w:t>**Containment:** Take reasonable steps to contain the breach and prevent further unauthorized access or disclosure, including revoking access, quarantining affected files (as recommended by cybersecai.io), and initiating technical incident response protocols.</w:t>
      </w:r>
    </w:p>
    <w:p>
      <w:pPr>
        <w:pStyle w:val="Heading3"/>
      </w:pPr>
      <w:r>
        <w:t>5.2. Risk Assessment</w:t>
      </w:r>
    </w:p>
    <w:p>
      <w:pPr>
        <w:pStyle w:val="ListBullet"/>
      </w:pPr>
      <w:r>
        <w:t>**Assessment:** The Privacy Officer must promptly assess whether the breach poses a “real risk of significant harm” to individuals, considering:</w:t>
      </w:r>
    </w:p>
    <w:p>
      <w:pPr>
        <w:pStyle w:val="ListBullet"/>
      </w:pPr>
      <w:r>
        <w:t>Sensitivity of the information (see Data Risk Analysis below).</w:t>
      </w:r>
    </w:p>
    <w:p>
      <w:pPr>
        <w:pStyle w:val="ListBullet"/>
      </w:pPr>
      <w:r>
        <w:t>Probability of misuse.</w:t>
      </w:r>
    </w:p>
    <w:p>
      <w:pPr>
        <w:pStyle w:val="ListBullet"/>
      </w:pPr>
      <w:r>
        <w:t>Volume and type of data involved (e.g., presence of financial or government-issued identifiers).</w:t>
      </w:r>
    </w:p>
    <w:p>
      <w:pPr>
        <w:pStyle w:val="ListBullet"/>
      </w:pPr>
      <w:r>
        <w:t>Other prescribed factors (PIPEDA, s.10.1(8)), including cross-border regulatory triggers (GDPR, PCI DSS, Australian Privacy Act).</w:t>
      </w:r>
    </w:p>
    <w:p>
      <w:pPr>
        <w:pStyle w:val="Heading3"/>
      </w:pPr>
      <w:r>
        <w:t>5.3. Notification Obligations</w:t>
      </w:r>
    </w:p>
    <w:p>
      <w:pPr>
        <w:pStyle w:val="Heading4"/>
      </w:pPr>
      <w:r>
        <w:t>5.3.1. Notification to Individuals (PIPEDA, s.10.1(3)-(4); GDPR Art. 34; CCPA §1798.82; Australian Privacy Act s.26WK)</w:t>
      </w:r>
    </w:p>
    <w:p>
      <w:pPr>
        <w:pStyle w:val="ListBullet"/>
      </w:pPr>
      <w:r>
        <w:t>**Trigger:** If the breach creates a real risk of significant harm or meets notification thresholds under applicable international regulations.</w:t>
      </w:r>
    </w:p>
    <w:p>
      <w:pPr>
        <w:pStyle w:val="ListBullet"/>
      </w:pPr>
      <w:r>
        <w:t>**Timeline:** As soon as feasible after determination, and within 72 hours for GDPR-covered incidents.</w:t>
      </w:r>
    </w:p>
    <w:p>
      <w:pPr>
        <w:pStyle w:val="ListBullet"/>
      </w:pPr>
      <w:r>
        <w:t>**Method:** Direct notification (e.g., email, mail, telephone) unless prohibited by law or impracticable, in which case indirect notification may be used.</w:t>
      </w:r>
    </w:p>
    <w:p>
      <w:pPr>
        <w:pStyle w:val="ListBullet"/>
      </w:pPr>
      <w:r>
        <w:t>**Content:** Notification must include:</w:t>
      </w:r>
    </w:p>
    <w:p>
      <w:pPr>
        <w:pStyle w:val="ListBullet"/>
      </w:pPr>
      <w:r>
        <w:t>Description of the breach and timing.</w:t>
      </w:r>
    </w:p>
    <w:p>
      <w:pPr>
        <w:pStyle w:val="ListBullet"/>
      </w:pPr>
      <w:r>
        <w:t>Personal information involved (e.g., full name, date of birth, financial account).</w:t>
      </w:r>
    </w:p>
    <w:p>
      <w:pPr>
        <w:pStyle w:val="ListBullet"/>
      </w:pPr>
      <w:r>
        <w:t>Steps taken to mitigate harm.</w:t>
      </w:r>
    </w:p>
    <w:p>
      <w:pPr>
        <w:pStyle w:val="ListBullet"/>
      </w:pPr>
      <w:r>
        <w:t>Steps individuals can take to reduce risk (e.g., credit monitoring, password changes).</w:t>
      </w:r>
    </w:p>
    <w:p>
      <w:pPr>
        <w:pStyle w:val="ListBullet"/>
      </w:pPr>
      <w:r>
        <w:t>Contact information for further inquiries.</w:t>
      </w:r>
    </w:p>
    <w:p>
      <w:pPr>
        <w:pStyle w:val="Heading4"/>
      </w:pPr>
      <w:r>
        <w:t>5.3.2. Notification to the Privacy Commissioner (PIPEDA, s.10.1(3)-(4); GDPR Art. 33; Australian Privacy Act s.26WK)</w:t>
      </w:r>
    </w:p>
    <w:p>
      <w:pPr>
        <w:pStyle w:val="ListBullet"/>
      </w:pPr>
      <w:r>
        <w:t>**Trigger:** If the breach creates a real risk of significant harm or as required by applicable law.</w:t>
      </w:r>
    </w:p>
    <w:p>
      <w:pPr>
        <w:pStyle w:val="ListBullet"/>
      </w:pPr>
      <w:r>
        <w:t>**Timeline:** As soon as feasible after determination, and within 72 hours for GDPR-covered incidents.</w:t>
      </w:r>
    </w:p>
    <w:p>
      <w:pPr>
        <w:pStyle w:val="ListBullet"/>
      </w:pPr>
      <w:r>
        <w:t>**Content:** Written report including:</w:t>
      </w:r>
    </w:p>
    <w:p>
      <w:pPr>
        <w:pStyle w:val="ListBullet"/>
      </w:pPr>
      <w:r>
        <w:t>Circumstances and cause of breach.</w:t>
      </w:r>
    </w:p>
    <w:p>
      <w:pPr>
        <w:pStyle w:val="ListBullet"/>
      </w:pPr>
      <w:r>
        <w:t>Date or period of breach.</w:t>
      </w:r>
    </w:p>
    <w:p>
      <w:pPr>
        <w:pStyle w:val="ListBullet"/>
      </w:pPr>
      <w:r>
        <w:t>Personal information involved.</w:t>
      </w:r>
    </w:p>
    <w:p>
      <w:pPr>
        <w:pStyle w:val="ListBullet"/>
      </w:pPr>
      <w:r>
        <w:t>Number of individuals affected.</w:t>
      </w:r>
    </w:p>
    <w:p>
      <w:pPr>
        <w:pStyle w:val="ListBullet"/>
      </w:pPr>
      <w:r>
        <w:t>Steps taken to reduce risk and mitigate harm.</w:t>
      </w:r>
    </w:p>
    <w:p>
      <w:pPr>
        <w:pStyle w:val="ListBullet"/>
      </w:pPr>
      <w:r>
        <w:t>Steps taken to notify individuals.</w:t>
      </w:r>
    </w:p>
    <w:p>
      <w:pPr>
        <w:pStyle w:val="ListBullet"/>
      </w:pPr>
      <w:r>
        <w:t>Contact information.</w:t>
      </w:r>
    </w:p>
    <w:p>
      <w:pPr>
        <w:pStyle w:val="Heading4"/>
      </w:pPr>
      <w:r>
        <w:t>5.3.3. Notification to Other Organizations or Government Institutions (PIPEDA, s.10.2; PCI DSS 12.10.5)</w:t>
      </w:r>
    </w:p>
    <w:p>
      <w:pPr>
        <w:pStyle w:val="ListBullet"/>
      </w:pPr>
      <w:r>
        <w:t>**Trigger:** If such organization or institution may be able to reduce the risk of harm or mitigate harm, or as required by payment card brands or other regulators.</w:t>
      </w:r>
    </w:p>
    <w:p>
      <w:pPr>
        <w:pStyle w:val="ListBullet"/>
      </w:pPr>
      <w:r>
        <w:t>**Timeline:** As soon as feasible after determination.</w:t>
      </w:r>
    </w:p>
    <w:p>
      <w:pPr>
        <w:pStyle w:val="ListBullet"/>
      </w:pPr>
      <w:r>
        <w:t>**Content:** Sufficient information to enable the organization or institution to take appropriate action.</w:t>
      </w:r>
    </w:p>
    <w:p>
      <w:r>
        <w:br/>
      </w:r>
    </w:p>
    <w:p>
      <w:pPr>
        <w:pStyle w:val="Heading2"/>
      </w:pPr>
      <w:r>
        <w:t>6. Record-Keeping (PIPEDA, s.10.3; GDPR Art. 33(5); PCI DSS 12.10.7)</w:t>
      </w:r>
    </w:p>
    <w:p>
      <w:pPr>
        <w:pStyle w:val="ListBullet"/>
      </w:pPr>
      <w:r>
        <w:t>OHP must maintain a record of every breach of security safeguards for at least 24 months after the date OHP determines the breach occurred, and for longer where required by other applicable laws.</w:t>
      </w:r>
    </w:p>
    <w:p>
      <w:pPr>
        <w:pStyle w:val="ListBullet"/>
      </w:pPr>
      <w:r>
        <w:t>Records must be provided to the OPC and other regulators (e.g., EU Data Protection Authorities, Australian OAIC, PCI Security Standards Council) upon request.</w:t>
      </w:r>
    </w:p>
    <w:p>
      <w:r>
        <w:br/>
      </w:r>
    </w:p>
    <w:p>
      <w:pPr>
        <w:pStyle w:val="Heading2"/>
      </w:pPr>
      <w:r>
        <w:t>7. Compliance and Review</w:t>
      </w:r>
    </w:p>
    <w:p>
      <w:pPr>
        <w:pStyle w:val="ListBullet"/>
      </w:pPr>
      <w:r>
        <w:t>Non-compliance with this Policy may result in disciplinary action.</w:t>
      </w:r>
    </w:p>
    <w:p>
      <w:pPr>
        <w:pStyle w:val="ListBullet"/>
      </w:pPr>
      <w:r>
        <w:t>This Policy will be reviewed annually and updated as required to ensure compliance with applicable laws and regulations, including evolving global standards and security best practices.</w:t>
      </w:r>
    </w:p>
    <w:p>
      <w:r>
        <w:br/>
      </w:r>
    </w:p>
    <w:p>
      <w:pPr>
        <w:pStyle w:val="Heading2"/>
      </w:pPr>
      <w:r>
        <w:t>8. Data Risk Analysis &amp; Security Controls</w:t>
      </w:r>
    </w:p>
    <w:p>
      <w:r>
        <w:t>**(Source: cybersecai.io platform, aggregated from AWS S3 and M365 environments)**</w:t>
      </w:r>
    </w:p>
    <w:p>
      <w:pPr>
        <w:pStyle w:val="Heading3"/>
      </w:pPr>
      <w:r>
        <w:t>8.1. Data Classification and Risk Profile</w:t>
      </w:r>
    </w:p>
    <w:p>
      <w:pPr>
        <w:pStyle w:val="ListBullet"/>
      </w:pPr>
      <w:r>
        <w:rPr>
          <w:b/>
        </w:rPr>
        <w:t>Highly Sensitive Data Detected:</w:t>
      </w:r>
    </w:p>
    <w:p>
      <w:pPr>
        <w:pStyle w:val="ListBullet2"/>
      </w:pPr>
      <w:r>
        <w:t>Full Name, Date of Birth, Address, Email Address, Phone Number, Driver’s License Number, Tax ID/TFN, Bank Account Number, Credit Card Number, Login Credentials, Device ID.</w:t>
      </w:r>
    </w:p>
    <w:p>
      <w:pPr>
        <w:pStyle w:val="ListBullet"/>
      </w:pPr>
      <w:r>
        <w:rPr>
          <w:b/>
        </w:rPr>
        <w:t>Regulatory Coverage:</w:t>
      </w:r>
    </w:p>
    <w:p>
      <w:pPr>
        <w:pStyle w:val="ListBullet2"/>
      </w:pPr>
      <w:r>
        <w:t>GDPR (EU/EEA), Australian Privacy Act, CCPA/CPRA (California), PCI DSS (global payment data).</w:t>
      </w:r>
    </w:p>
    <w:p>
      <w:pPr>
        <w:pStyle w:val="ListBullet"/>
      </w:pPr>
      <w:r>
        <w:t>**Overall Risk Rating:** High</w:t>
      </w:r>
    </w:p>
    <w:p>
      <w:pPr>
        <w:pStyle w:val="ListBullet"/>
      </w:pPr>
      <w:r>
        <w:t>The presence of regulated identifiers and financial data presents a high risk of identity theft, financial fraud, and regulatory non-compliance if breached.</w:t>
      </w:r>
    </w:p>
    <w:p>
      <w:pPr>
        <w:pStyle w:val="Heading3"/>
      </w:pPr>
      <w:r>
        <w:t>8.2. Cybersecurity Controls (as recommended by cybersecai.io)</w:t>
      </w:r>
    </w:p>
    <w:p>
      <w:pPr>
        <w:pStyle w:val="ListBullet"/>
      </w:pPr>
      <w:r>
        <w:t>Implement strong access controls and least privilege (ISO/IEC 27001 A.9; NIST AC-6).</w:t>
      </w:r>
    </w:p>
    <w:p>
      <w:pPr>
        <w:pStyle w:val="ListBullet"/>
      </w:pPr>
      <w:r>
        <w:t>Encrypt data at rest and in transit (ISO/IEC 27001 A.10; NIST SC-13/SC-28; PCI DSS 3.4).</w:t>
      </w:r>
    </w:p>
    <w:p>
      <w:pPr>
        <w:pStyle w:val="ListBullet"/>
      </w:pPr>
      <w:r>
        <w:t>Apply multi-factor authentication for all access to sensitive data (ISO/IEC 27001 A.9; NIST IA-2).</w:t>
      </w:r>
    </w:p>
    <w:p>
      <w:pPr>
        <w:pStyle w:val="ListBullet"/>
      </w:pPr>
      <w:r>
        <w:t>Regularly audit and monitor access logs (ISO/IEC 27001 A.12; NIST AU-2/AU-6).</w:t>
      </w:r>
    </w:p>
    <w:p>
      <w:pPr>
        <w:pStyle w:val="ListBullet"/>
      </w:pPr>
      <w:r>
        <w:t>Conduct regular risk assessments and audits (ISO/IEC 27005; NIST SP 800-30).</w:t>
      </w:r>
    </w:p>
    <w:p>
      <w:pPr>
        <w:pStyle w:val="ListBullet"/>
      </w:pPr>
      <w:r>
        <w:t>Maintain incident response and data breach notification procedures (ISO/IEC 27035; NIST IR-4).</w:t>
      </w:r>
    </w:p>
    <w:p>
      <w:pPr>
        <w:pStyle w:val="ListBullet"/>
      </w:pPr>
      <w:r>
        <w:t>Ensure secure disposal of sensitive data (ISO/IEC 27001 A.8.3, A.11; NIST MP-6).</w:t>
      </w:r>
    </w:p>
    <w:p>
      <w:pPr>
        <w:pStyle w:val="ListBullet"/>
      </w:pPr>
      <w:r>
        <w:t>Conduct regular security awareness training (ISO/IEC 27001 A.7; NIST AT-2).</w:t>
      </w:r>
    </w:p>
    <w:p>
      <w:pPr>
        <w:pStyle w:val="ListBullet"/>
      </w:pPr>
      <w:r>
        <w:t>Apply data loss prevention (DLP) solutions (ISO/IEC 27001 A.8; NIST SI-4).</w:t>
      </w:r>
    </w:p>
    <w:p>
      <w:pPr>
        <w:pStyle w:val="ListBullet"/>
      </w:pPr>
      <w:r>
        <w:t>Perform regular vulnerability assessments and penetration testing (ISO/IEC 27001 A.12.6.1; NIST SP 800-53 RA-5).</w:t>
      </w:r>
    </w:p>
    <w:p>
      <w:pPr>
        <w:pStyle w:val="Heading3"/>
      </w:pPr>
      <w:r>
        <w:t>8.3. Auditor Recommendations (cybersecai.io)</w:t>
      </w:r>
    </w:p>
    <w:p>
      <w:pPr>
        <w:pStyle w:val="ListBullet"/>
      </w:pPr>
      <w:r>
        <w:t>Notify owner and restrict access immediately upon breach detection.</w:t>
      </w:r>
    </w:p>
    <w:p>
      <w:pPr>
        <w:pStyle w:val="ListBullet"/>
      </w:pPr>
      <w:r>
        <w:t>Quarantine affected files where required.</w:t>
      </w:r>
    </w:p>
    <w:p>
      <w:pPr>
        <w:pStyle w:val="ListBullet"/>
      </w:pPr>
      <w:r>
        <w:t>Review and update data handling procedures regularly.</w:t>
      </w:r>
    </w:p>
    <w:p>
      <w:pPr>
        <w:pStyle w:val="ListBullet"/>
      </w:pPr>
      <w:r>
        <w:t>Ensure compliance with all cross-jurisdictional notification and record-keeping requirements.</w:t>
      </w:r>
    </w:p>
    <w:p>
      <w:r>
        <w:br/>
      </w:r>
    </w:p>
    <w:p>
      <w:pPr>
        <w:pStyle w:val="Heading2"/>
      </w:pPr>
      <w:r>
        <w:t>9. Regulatory Cross-References</w:t>
      </w:r>
    </w:p>
    <w:p>
      <w:pPr>
        <w:pStyle w:val="ListBullet"/>
      </w:pPr>
      <w:r>
        <w:t>**PIPEDA, s.10.1(3)-(6):** Breach notification to individuals and OPC.</w:t>
      </w:r>
    </w:p>
    <w:p>
      <w:pPr>
        <w:pStyle w:val="ListBullet"/>
      </w:pPr>
      <w:r>
        <w:t>**PIPEDA, s.10.2:** Notification to other organizations or government institutions.</w:t>
      </w:r>
    </w:p>
    <w:p>
      <w:pPr>
        <w:pStyle w:val="ListBullet"/>
      </w:pPr>
      <w:r>
        <w:t>**PIPEDA, s.10.3:** Record-keeping requirements.</w:t>
      </w:r>
    </w:p>
    <w:p>
      <w:pPr>
        <w:pStyle w:val="ListBullet"/>
      </w:pPr>
      <w:r>
        <w:t>**GDPR Articles 33-34:** Notification to supervisory authorities and data subjects.</w:t>
      </w:r>
    </w:p>
    <w:p>
      <w:pPr>
        <w:pStyle w:val="ListBullet"/>
      </w:pPr>
      <w:r>
        <w:t>**Australian Privacy Act Part IIIC:** Notifiable data breaches scheme.</w:t>
      </w:r>
    </w:p>
    <w:p>
      <w:pPr>
        <w:pStyle w:val="ListBullet"/>
      </w:pPr>
      <w:r>
        <w:t>**CCPA/CPRA §1798.82:** Breach notification to California residents.</w:t>
      </w:r>
    </w:p>
    <w:p>
      <w:pPr>
        <w:pStyle w:val="ListBullet"/>
      </w:pPr>
      <w:r>
        <w:t>**PCI DSS 12.10:** Incident response and notification requirements.</w:t>
      </w:r>
    </w:p>
    <w:p>
      <w:r>
        <w:br/>
      </w:r>
    </w:p>
    <w:p>
      <w:r>
        <w:t xml:space="preserve">**Contact:**  </w:t>
      </w:r>
    </w:p>
    <w:p>
      <w:r>
        <w:t xml:space="preserve">Privacy Officer  </w:t>
      </w:r>
    </w:p>
    <w:p>
      <w:r>
        <w:t xml:space="preserve">Oakville HealthCare Provider  </w:t>
      </w:r>
    </w:p>
    <w:p>
      <w:r>
        <w:t>[Contact Information]</w:t>
      </w:r>
    </w:p>
    <w:p>
      <w:r>
        <w:br/>
      </w:r>
    </w:p>
    <w:p>
      <w:r>
        <w:t>*This policy incorporates data risk and compliance analysis as identified by the cybersecai.io platform. For further details on detected sensitive data, risk ratings, and recommended controls, consult the cybersecai.io dashboard or contact the Privacy Officer.*</w:t>
      </w:r>
    </w:p>
    <w:p>
      <w:r>
        <w:br/>
      </w:r>
    </w:p>
    <w:p>
      <w:r>
        <w:t>```</w:t>
      </w:r>
    </w:p>
    <w:p>
      <w:r>
        <w:t>**End of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