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Breach Assessment Procedure</w:t>
      </w:r>
    </w:p>
    <w:p>
      <w:r>
        <w:t xml:space="preserve">**cybersecai Pty Ltd**  </w:t>
      </w:r>
    </w:p>
    <w:p>
      <w:r>
        <w:t xml:space="preserve">*Effective: [Insert Date]*  </w:t>
      </w:r>
    </w:p>
    <w:p>
      <w:r>
        <w:t>*Owner: Chief Privacy Officer (CPO)*</w:t>
      </w:r>
    </w:p>
    <w:p>
      <w:r>
        <w:br/>
      </w:r>
    </w:p>
    <w:p>
      <w:pPr>
        <w:pStyle w:val="Heading1"/>
      </w:pPr>
      <w:r>
        <w:t>1. Purpose</w:t>
      </w:r>
    </w:p>
    <w:p>
      <w:r>
        <w:t>This Procedure establishes the mandatory process for assessing whether a data breach involving personal information is likely to result in serious harm to individuals, in accordance with the Privacy Act 1988 (Cth), the Notifiable Data Breaches (NDB) Scheme, and relevant international standards such as the GDPR and PCI DSS.</w:t>
      </w:r>
    </w:p>
    <w:p>
      <w:r>
        <w:br/>
      </w:r>
    </w:p>
    <w:p>
      <w:pPr>
        <w:pStyle w:val="Heading1"/>
      </w:pPr>
      <w:r>
        <w:t>2. Scope</w:t>
      </w:r>
    </w:p>
    <w:p>
      <w:r>
        <w:t>Applies to all actual or suspected data breaches involving personal information held by cybersecai Pty Ltd, including information managed by third-party service providers. This includes data regulated under the Australian Privacy Act, GDPR, and PCI DSS, as identified in recent assessments from the cybersecai.io platform.</w:t>
      </w:r>
    </w:p>
    <w:p>
      <w:r>
        <w:br/>
      </w:r>
    </w:p>
    <w:p>
      <w:pPr>
        <w:pStyle w:val="Heading1"/>
      </w:pPr>
      <w:r>
        <w:t>3. Responsibilities</w:t>
      </w:r>
    </w:p>
    <w:p>
      <w:pPr>
        <w:pStyle w:val="ListBullet"/>
      </w:pPr>
      <w:r>
        <w:t>**Chief Privacy Officer (CPO):** Overall responsibility for breach assessment and compliance.</w:t>
      </w:r>
    </w:p>
    <w:p>
      <w:pPr>
        <w:pStyle w:val="ListBullet"/>
      </w:pPr>
      <w:r>
        <w:t>**Data Breach Response Team (DBRT):** Conducts assessment and documents findings.</w:t>
      </w:r>
    </w:p>
    <w:p>
      <w:pPr>
        <w:pStyle w:val="ListBullet"/>
      </w:pPr>
      <w:r>
        <w:t>**All Staff:** Must immediately report suspected or known data breaches to the CPO.</w:t>
      </w:r>
    </w:p>
    <w:p>
      <w:r>
        <w:br/>
      </w:r>
    </w:p>
    <w:p>
      <w:pPr>
        <w:pStyle w:val="Heading1"/>
      </w:pPr>
      <w:r>
        <w:t>4. Assessment Workflow</w:t>
      </w:r>
    </w:p>
    <w:p>
      <w:pPr>
        <w:pStyle w:val="Heading2"/>
      </w:pPr>
      <w:r>
        <w:t>Step 1: Identification and Preliminary Containment</w:t>
      </w:r>
    </w:p>
    <w:p>
      <w:pPr>
        <w:pStyle w:val="ListBullet"/>
      </w:pPr>
      <w:r>
        <w:t>**Action:** On discovery or notification of a breach, immediately contain the breach (where possible) and preserve evidence.</w:t>
      </w:r>
    </w:p>
    <w:p>
      <w:pPr>
        <w:pStyle w:val="ListBullet"/>
      </w:pPr>
      <w:r>
        <w:t>**Responsibility:** All Staff, IT Security, DBRT.</w:t>
      </w:r>
    </w:p>
    <w:p>
      <w:pPr>
        <w:pStyle w:val="Heading2"/>
      </w:pPr>
      <w:r>
        <w:t>Step 2: Initial Assessment</w:t>
      </w:r>
    </w:p>
    <w:p>
      <w:pPr>
        <w:pStyle w:val="ListBullet"/>
      </w:pPr>
      <w:r>
        <w:t>**Action:** Within 24 hours, DBRT to gather facts:</w:t>
      </w:r>
    </w:p>
    <w:p>
      <w:pPr>
        <w:pStyle w:val="ListBullet"/>
      </w:pPr>
      <w:r>
        <w:t>Nature and extent of the breach.</w:t>
      </w:r>
    </w:p>
    <w:p>
      <w:pPr>
        <w:pStyle w:val="ListBullet"/>
      </w:pPr>
      <w:r>
        <w:t>Type(s) of personal information involved.</w:t>
      </w:r>
    </w:p>
    <w:p>
      <w:pPr>
        <w:pStyle w:val="ListBullet"/>
      </w:pPr>
      <w:r>
        <w:t>Number and identity of affected individuals.</w:t>
      </w:r>
    </w:p>
    <w:p>
      <w:pPr>
        <w:pStyle w:val="ListBullet"/>
      </w:pPr>
      <w:r>
        <w:t>Cause and context of the breach.</w:t>
      </w:r>
    </w:p>
    <w:p>
      <w:pPr>
        <w:pStyle w:val="ListBullet"/>
      </w:pPr>
      <w:r>
        <w:t>**Responsibility:** DBRT.</w:t>
      </w:r>
    </w:p>
    <w:p>
      <w:pPr>
        <w:pStyle w:val="Heading2"/>
      </w:pPr>
      <w:r>
        <w:t>Step 3: Serious Harm Assessment</w:t>
      </w:r>
    </w:p>
    <w:p>
      <w:pPr>
        <w:pStyle w:val="Heading3"/>
      </w:pPr>
      <w:r>
        <w:t>3.1. Assessment Criteria (per s 26WG, Privacy Act 1988 and international standards)</w:t>
      </w:r>
    </w:p>
    <w:p>
      <w:pPr>
        <w:pStyle w:val="ListBullet"/>
      </w:pPr>
      <w:r>
        <w:t>**Nature of Information:** Is sensitive information involved (e.g., health, financial, government identifiers, login credentials, payment card data)?</w:t>
      </w:r>
    </w:p>
    <w:p>
      <w:pPr>
        <w:pStyle w:val="ListBullet"/>
      </w:pPr>
      <w:r>
        <w:t>*cybersecai.io platform data indicates recent breaches have involved the following high-risk fields:*</w:t>
      </w:r>
    </w:p>
    <w:p>
      <w:pPr>
        <w:pStyle w:val="ListBullet"/>
      </w:pPr>
      <w:r>
        <w:t>Full Name</w:t>
      </w:r>
    </w:p>
    <w:p>
      <w:pPr>
        <w:pStyle w:val="ListBullet"/>
      </w:pPr>
      <w:r>
        <w:t>Address</w:t>
      </w:r>
    </w:p>
    <w:p>
      <w:pPr>
        <w:pStyle w:val="ListBullet"/>
      </w:pPr>
      <w:r>
        <w:t>Date of Birth</w:t>
      </w:r>
    </w:p>
    <w:p>
      <w:pPr>
        <w:pStyle w:val="ListBullet"/>
      </w:pPr>
      <w:r>
        <w:t>Email Address</w:t>
      </w:r>
    </w:p>
    <w:p>
      <w:pPr>
        <w:pStyle w:val="ListBullet"/>
      </w:pPr>
      <w:r>
        <w:t>Bank Account Number</w:t>
      </w:r>
    </w:p>
    <w:p>
      <w:pPr>
        <w:pStyle w:val="ListBullet"/>
      </w:pPr>
      <w:r>
        <w:t>Financial Account (Corporate Card Number)</w:t>
      </w:r>
    </w:p>
    <w:p>
      <w:pPr>
        <w:pStyle w:val="ListBullet"/>
      </w:pPr>
      <w:r>
        <w:t>Australian Business Number</w:t>
      </w:r>
    </w:p>
    <w:p>
      <w:pPr>
        <w:pStyle w:val="ListBullet"/>
      </w:pPr>
      <w:r>
        <w:t>Driver’s License Number</w:t>
      </w:r>
    </w:p>
    <w:p>
      <w:pPr>
        <w:pStyle w:val="ListBullet"/>
      </w:pPr>
      <w:r>
        <w:t>Tax File Number</w:t>
      </w:r>
    </w:p>
    <w:p>
      <w:pPr>
        <w:pStyle w:val="ListBullet"/>
      </w:pPr>
      <w:r>
        <w:t>Login Credentials</w:t>
      </w:r>
    </w:p>
    <w:p>
      <w:pPr>
        <w:pStyle w:val="ListBullet"/>
      </w:pPr>
      <w:r>
        <w:t>Credit Card Number</w:t>
      </w:r>
    </w:p>
    <w:p>
      <w:pPr>
        <w:pStyle w:val="ListBullet"/>
      </w:pPr>
      <w:r>
        <w:t>CVV/CVC (PIN)</w:t>
      </w:r>
    </w:p>
    <w:p>
      <w:pPr>
        <w:pStyle w:val="ListBullet"/>
      </w:pPr>
      <w:r>
        <w:t>Medicare Number</w:t>
      </w:r>
    </w:p>
    <w:p>
      <w:pPr>
        <w:pStyle w:val="ListBullet"/>
      </w:pPr>
      <w:r>
        <w:t>Customer Photos</w:t>
      </w:r>
    </w:p>
    <w:p>
      <w:pPr>
        <w:pStyle w:val="ListBullet"/>
      </w:pPr>
      <w:r>
        <w:t>Device ID</w:t>
      </w:r>
    </w:p>
    <w:p>
      <w:pPr>
        <w:pStyle w:val="ListBullet"/>
      </w:pPr>
      <w:r>
        <w:t>*These fields are regulated under the GDPR, the Australian Privacy Act, and PCI DSS, and their presence significantly elevates breach risk.*</w:t>
      </w:r>
    </w:p>
    <w:p>
      <w:pPr>
        <w:pStyle w:val="ListBullet"/>
      </w:pPr>
      <w:r>
        <w:t>**Likelihood of Access/Disclosure:** Was the information accessed or disclosed? To whom?</w:t>
      </w:r>
    </w:p>
    <w:p>
      <w:pPr>
        <w:pStyle w:val="ListBullet"/>
      </w:pPr>
      <w:r>
        <w:t>**Security Measures:** Was the information encrypted, anonymised, or otherwise protected?</w:t>
      </w:r>
    </w:p>
    <w:p>
      <w:pPr>
        <w:pStyle w:val="ListBullet"/>
      </w:pPr>
      <w:r>
        <w:t>**Potential Harm:** Could the breach result in:</w:t>
      </w:r>
    </w:p>
    <w:p>
      <w:pPr>
        <w:pStyle w:val="ListBullet"/>
      </w:pPr>
      <w:r>
        <w:t>Identity theft or fraud?</w:t>
      </w:r>
    </w:p>
    <w:p>
      <w:pPr>
        <w:pStyle w:val="ListBullet"/>
      </w:pPr>
      <w:r>
        <w:t>Financial loss?</w:t>
      </w:r>
    </w:p>
    <w:p>
      <w:pPr>
        <w:pStyle w:val="ListBullet"/>
      </w:pPr>
      <w:r>
        <w:t>Harm to reputation?</w:t>
      </w:r>
    </w:p>
    <w:p>
      <w:pPr>
        <w:pStyle w:val="ListBullet"/>
      </w:pPr>
      <w:r>
        <w:t>Discrimination or other serious harm?</w:t>
      </w:r>
    </w:p>
    <w:p>
      <w:pPr>
        <w:pStyle w:val="ListBullet"/>
      </w:pPr>
      <w:r>
        <w:t>*cybersecai.io platform risk assessments have rated the potential for harm as "High" in recent incidents due to the combination of identifiers, financial, and authentication data.*</w:t>
      </w:r>
    </w:p>
    <w:p>
      <w:pPr>
        <w:pStyle w:val="ListBullet"/>
      </w:pPr>
      <w:r>
        <w:t>**Mitigating Factors:** Has remedial action reduced the risk of harm?</w:t>
      </w:r>
    </w:p>
    <w:p>
      <w:pPr>
        <w:pStyle w:val="Heading3"/>
      </w:pPr>
      <w:r>
        <w:t>3.2. Determination</w:t>
      </w:r>
    </w:p>
    <w:p>
      <w:pPr>
        <w:pStyle w:val="ListBullet"/>
      </w:pPr>
      <w:r>
        <w:t>**Action:** DBRT must, expeditiously and within 30 days, assess whether the breach is likely to result in serious harm to any individual.</w:t>
      </w:r>
    </w:p>
    <w:p>
      <w:pPr>
        <w:pStyle w:val="ListBullet"/>
      </w:pPr>
      <w:r>
        <w:rPr>
          <w:b/>
        </w:rPr>
        <w:t>Outcome:</w:t>
      </w:r>
    </w:p>
    <w:p>
      <w:pPr>
        <w:pStyle w:val="ListBullet"/>
      </w:pPr>
      <w:r>
        <w:t>**Likely to result in serious harm:** Proceed to notification (see Data Breach Response Plan).</w:t>
      </w:r>
    </w:p>
    <w:p>
      <w:pPr>
        <w:pStyle w:val="ListBullet"/>
      </w:pPr>
      <w:r>
        <w:t>**Unlikely to result in serious harm:** Document rationale; no notification required.</w:t>
      </w:r>
    </w:p>
    <w:p>
      <w:pPr>
        <w:pStyle w:val="Heading2"/>
      </w:pPr>
      <w:r>
        <w:t>Step 4: Documentation</w:t>
      </w:r>
    </w:p>
    <w:p>
      <w:pPr>
        <w:pStyle w:val="ListBullet"/>
      </w:pPr>
      <w:r>
        <w:t>**Action:** Record all findings, evidence, and rationale for decision in the Data Breach Assessment Register.</w:t>
      </w:r>
    </w:p>
    <w:p>
      <w:pPr>
        <w:pStyle w:val="ListBullet"/>
      </w:pPr>
      <w:r>
        <w:t>*Include references to cybersecai.io platform risk ratings (e.g., "High" risk, "quarantine file" recommendations) and detected regulated data fields.*</w:t>
      </w:r>
    </w:p>
    <w:p>
      <w:pPr>
        <w:pStyle w:val="ListBullet"/>
      </w:pPr>
      <w:r>
        <w:t>**Responsibility:** DBRT, CPO.</w:t>
      </w:r>
    </w:p>
    <w:p>
      <w:r>
        <w:br/>
      </w:r>
    </w:p>
    <w:p>
      <w:pPr>
        <w:pStyle w:val="Heading1"/>
      </w:pPr>
      <w:r>
        <w:t>5. Regulatory Cross-References</w:t>
      </w:r>
    </w:p>
    <w:p>
      <w:pPr>
        <w:pStyle w:val="ListBullet"/>
      </w:pPr>
      <w:r>
        <w:rPr>
          <w:b/>
        </w:rPr>
        <w:t>Privacy Act 1988 (Cth):</w:t>
      </w:r>
    </w:p>
    <w:p>
      <w:pPr>
        <w:pStyle w:val="ListBullet2"/>
      </w:pPr>
      <w:r>
        <w:t>s 26WE: Meaning of eligible data breach</w:t>
      </w:r>
    </w:p>
    <w:p>
      <w:pPr>
        <w:pStyle w:val="ListBullet2"/>
      </w:pPr>
      <w:r>
        <w:t>s 26WG: Assessment of suspected eligible data breach</w:t>
      </w:r>
    </w:p>
    <w:p>
      <w:pPr>
        <w:pStyle w:val="ListBullet2"/>
      </w:pPr>
      <w:r>
        <w:t>s 26WL: Notification requirements</w:t>
      </w:r>
    </w:p>
    <w:p>
      <w:pPr>
        <w:pStyle w:val="ListBullet"/>
      </w:pPr>
      <w:r>
        <w:rPr>
          <w:b/>
        </w:rPr>
        <w:t>OAIC Guidance:</w:t>
      </w:r>
    </w:p>
    <w:p>
      <w:pPr>
        <w:pStyle w:val="ListBullet2"/>
      </w:pPr>
      <w:r>
        <w:t>“Data breach preparation and response — A guide to managing data breaches in accordance with the Privacy Act 1988 (Cth)”</w:t>
      </w:r>
    </w:p>
    <w:p>
      <w:pPr>
        <w:pStyle w:val="ListBullet"/>
      </w:pPr>
      <w:r>
        <w:rPr>
          <w:b/>
        </w:rPr>
        <w:t>GDPR (EU):</w:t>
      </w:r>
    </w:p>
    <w:p>
      <w:pPr>
        <w:pStyle w:val="ListBullet2"/>
      </w:pPr>
      <w:r>
        <w:t>Article 33: Notification of a personal data breach to the supervisory authority</w:t>
      </w:r>
    </w:p>
    <w:p>
      <w:pPr>
        <w:pStyle w:val="ListBullet2"/>
      </w:pPr>
      <w:r>
        <w:t>Article 34: Communication of a personal data breach to the data subject</w:t>
      </w:r>
    </w:p>
    <w:p>
      <w:pPr>
        <w:pStyle w:val="ListBullet"/>
      </w:pPr>
      <w:r>
        <w:rPr>
          <w:b/>
        </w:rPr>
        <w:t>PCI DSS:</w:t>
      </w:r>
    </w:p>
    <w:p>
      <w:pPr>
        <w:pStyle w:val="ListBullet2"/>
      </w:pPr>
      <w:r>
        <w:t>Requirement 12.10: Implement an incident response plan</w:t>
      </w:r>
    </w:p>
    <w:p>
      <w:r>
        <w:br/>
      </w:r>
    </w:p>
    <w:p>
      <w:pPr>
        <w:pStyle w:val="Heading1"/>
      </w:pPr>
      <w:r>
        <w:t>6. Review and Update</w:t>
      </w:r>
    </w:p>
    <w:p>
      <w:r>
        <w:t>This Procedure will be reviewed annually or following any notifiable data breach or regulatory change. Updates will incorporate the latest risk intelligence and recommendations from the cybersecai.io platform.</w:t>
      </w:r>
    </w:p>
    <w:p>
      <w:r>
        <w:br/>
      </w:r>
    </w:p>
    <w:p>
      <w:pPr>
        <w:pStyle w:val="Heading1"/>
      </w:pPr>
      <w:r>
        <w:t>7. Related Documents</w:t>
      </w:r>
    </w:p>
    <w:p>
      <w:pPr>
        <w:pStyle w:val="ListBullet"/>
      </w:pPr>
      <w:r>
        <w:t>Data Breach Response Plan</w:t>
      </w:r>
    </w:p>
    <w:p>
      <w:pPr>
        <w:pStyle w:val="ListBullet"/>
      </w:pPr>
      <w:r>
        <w:t>Data Breach Notification Template</w:t>
      </w:r>
    </w:p>
    <w:p>
      <w:pPr>
        <w:pStyle w:val="ListBullet"/>
      </w:pPr>
      <w:r>
        <w:t>Data Breach Assessment Register</w:t>
      </w:r>
    </w:p>
    <w:p>
      <w:pPr>
        <w:pStyle w:val="ListBullet"/>
      </w:pPr>
      <w:r>
        <w:t>cybersecai.io Risk Assessment Reports</w:t>
      </w:r>
    </w:p>
    <w:p>
      <w:r>
        <w:br/>
      </w:r>
    </w:p>
    <w:p>
      <w:pPr>
        <w:pStyle w:val="Heading1"/>
      </w:pPr>
      <w:r>
        <w:t>8. Embedded Risk Intelligence (from cybersecai.io platform)</w:t>
      </w:r>
    </w:p>
    <w:p>
      <w:r>
        <w:t>Recent automated assessments (source: cybersecai.io platform) have identified the following:</w:t>
      </w:r>
    </w:p>
    <w:p>
      <w:pPr>
        <w:pStyle w:val="ListBullet"/>
      </w:pPr>
      <w:r>
        <w:t>**Detected Regulated Data Fields:** Full names, addresses, dates of birth, email addresses, bank account numbers, credit card numbers, login credentials, tax file numbers, Medicare numbers, device IDs, customer photos, and more.</w:t>
      </w:r>
    </w:p>
    <w:p>
      <w:pPr>
        <w:pStyle w:val="ListBullet"/>
      </w:pPr>
      <w:r>
        <w:t>**Applicable Standards:** GDPR, Australian Privacy Act, PCI DSS.</w:t>
      </w:r>
    </w:p>
    <w:p>
      <w:pPr>
        <w:pStyle w:val="ListBullet"/>
      </w:pPr>
      <w:r>
        <w:t>**Overall Risk Rating:** High</w:t>
      </w:r>
    </w:p>
    <w:p>
      <w:pPr>
        <w:pStyle w:val="ListBullet"/>
      </w:pPr>
      <w:r>
        <w:t>**Auditor Recommendations:** Quarantine file, notify data owner for immediate review, and review for sensitive data exposure.</w:t>
      </w:r>
    </w:p>
    <w:p>
      <w:pPr>
        <w:pStyle w:val="ListBullet"/>
      </w:pPr>
      <w:r>
        <w:t>**Auditor Agent View:** “The document contains multiple regulated data fields... These fields are highly sensitive under GDPR, the Australian Privacy Act, and PCI DSS, and their presence in a single document increases the risk of unauthorized disclosure or misuse.”</w:t>
      </w:r>
    </w:p>
    <w:p>
      <w:r>
        <w:t>All breach assessments must reference the most recent cybersecai.io platform findings to ensure regulatory compliance and risk-appropriate response.</w:t>
      </w:r>
    </w:p>
    <w:p>
      <w:r>
        <w:br/>
      </w:r>
    </w:p>
    <w:p>
      <w:r>
        <w:t xml:space="preserve">*Approved by: [Name, Title]*  </w:t>
      </w:r>
    </w:p>
    <w:p>
      <w:r>
        <w:t>*Date: [Insert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