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Data Breach Log Entry</w:t>
      </w:r>
    </w:p>
    <w:p>
      <w:r>
        <w:t>**Purpose:** To maintain a centralized, comprehensive record of all data breaches, regardless of materiality, in accordance with the Personal Information Protection and Electronic Documents Act (PIPEDA), s.10.3, for accountability and regulatory review.</w:t>
      </w:r>
    </w:p>
    <w:p>
      <w:r>
        <w:br/>
      </w:r>
    </w:p>
    <w:p>
      <w:pPr>
        <w:pStyle w:val="Heading2"/>
      </w:pPr>
      <w:r>
        <w:t>2. Data Breach Log Entry</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**Log Entry Number**</w:t>
            </w:r>
          </w:p>
        </w:tc>
        <w:tc>
          <w:tcPr>
            <w:tcW w:type="dxa" w:w="4320"/>
          </w:tcPr>
          <w:p>
            <w:r>
              <w:t>2024-001</w:t>
            </w:r>
          </w:p>
        </w:tc>
      </w:tr>
      <w:tr>
        <w:tc>
          <w:tcPr>
            <w:tcW w:type="dxa" w:w="4320"/>
          </w:tcPr>
          <w:p>
            <w:r>
              <w:t>**Date &amp; Time of Breach**</w:t>
            </w:r>
          </w:p>
        </w:tc>
        <w:tc>
          <w:tcPr>
            <w:tcW w:type="dxa" w:w="4320"/>
          </w:tcPr>
          <w:p>
            <w:r>
              <w:t>2024-06-19, 09:45 EDT</w:t>
            </w:r>
          </w:p>
        </w:tc>
      </w:tr>
      <w:tr>
        <w:tc>
          <w:tcPr>
            <w:tcW w:type="dxa" w:w="4320"/>
          </w:tcPr>
          <w:p>
            <w:r>
              <w:t>**Date &amp; Time Reported**</w:t>
            </w:r>
          </w:p>
        </w:tc>
        <w:tc>
          <w:tcPr>
            <w:tcW w:type="dxa" w:w="4320"/>
          </w:tcPr>
          <w:p>
            <w:r>
              <w:t>2024-06-19, 10:05 EDT</w:t>
            </w:r>
          </w:p>
        </w:tc>
      </w:tr>
      <w:tr>
        <w:tc>
          <w:tcPr>
            <w:tcW w:type="dxa" w:w="4320"/>
          </w:tcPr>
          <w:p>
            <w:r>
              <w:t>**Reported By**</w:t>
            </w:r>
          </w:p>
        </w:tc>
        <w:tc>
          <w:tcPr>
            <w:tcW w:type="dxa" w:w="4320"/>
          </w:tcPr>
          <w:p>
            <w:r>
              <w:t>Jane Smith, IT Security Analyst, jane.smith@oakvillehc.ca, ext. 4421</w:t>
            </w:r>
          </w:p>
        </w:tc>
      </w:tr>
      <w:tr>
        <w:tc>
          <w:tcPr>
            <w:tcW w:type="dxa" w:w="4320"/>
          </w:tcPr>
          <w:p>
            <w:r>
              <w:t>**Description of Breach**</w:t>
            </w:r>
          </w:p>
        </w:tc>
        <w:tc>
          <w:tcPr>
            <w:tcW w:type="dxa" w:w="4320"/>
          </w:tcPr>
          <w:p>
            <w:r>
              <w:t>Unauthorized access detected in M365 environment. Multiple files containing highly sensitive personal and financial data (including full names, dates of birth, addresses, email addresses, phone numbers, credit card numbers, login credentials, and tax IDs) were accessed and potentially exfiltrated. Detection triggered by abnormal access patterns and DLP alerts. (Source: cybersecai.io platform, M365 integration)</w:t>
            </w:r>
          </w:p>
        </w:tc>
      </w:tr>
      <w:tr>
        <w:tc>
          <w:tcPr>
            <w:tcW w:type="dxa" w:w="4320"/>
          </w:tcPr>
          <w:p>
            <w:r>
              <w:t>**Type of Information Involved**</w:t>
            </w:r>
          </w:p>
        </w:tc>
        <w:tc>
          <w:tcPr>
            <w:tcW w:type="dxa" w:w="4320"/>
          </w:tcPr>
          <w:p>
            <w:r>
              <w:t>- Full Name&lt;br&gt;- Date of Birth&lt;br&gt;- Home Address&lt;br&gt;- Email Address&lt;br&gt;- Phone Number&lt;br&gt;- Credit Card Number&lt;br&gt;- Bank Account Number&lt;br&gt;- Login Credentials&lt;br&gt;- Tax ID/Tax File Number&lt;br&gt;- Driver’s License Number</w:t>
            </w:r>
          </w:p>
        </w:tc>
      </w:tr>
      <w:tr>
        <w:tc>
          <w:tcPr>
            <w:tcW w:type="dxa" w:w="4320"/>
          </w:tcPr>
          <w:p>
            <w:r>
              <w:t>**Number of Individuals Affected**</w:t>
            </w:r>
          </w:p>
        </w:tc>
        <w:tc>
          <w:tcPr>
            <w:tcW w:type="dxa" w:w="4320"/>
          </w:tcPr>
          <w:p>
            <w:r>
              <w:t>Estimated 2,350 (patients and staff)</w:t>
            </w:r>
          </w:p>
        </w:tc>
      </w:tr>
      <w:tr>
        <w:tc>
          <w:tcPr>
            <w:tcW w:type="dxa" w:w="4320"/>
          </w:tcPr>
          <w:p>
            <w:r>
              <w:t>**Risk Assessment**</w:t>
            </w:r>
          </w:p>
        </w:tc>
        <w:tc>
          <w:tcPr>
            <w:tcW w:type="dxa" w:w="4320"/>
          </w:tcPr>
          <w:p>
            <w:r>
              <w:t>High risk of significant harm due to exposure of regulated identifiers and financial data. Data fields are regulated under GDPR, Australian Privacy Act, CCPA/CPRA, and PCI DSS. Potential for identity theft, financial fraud, and privacy violations. (Source: cybersecai.io platform, see SensitiveData section)</w:t>
            </w:r>
          </w:p>
        </w:tc>
      </w:tr>
      <w:tr>
        <w:tc>
          <w:tcPr>
            <w:tcW w:type="dxa" w:w="4320"/>
          </w:tcPr>
          <w:p>
            <w:r>
              <w:t>**Containment Measures Taken**</w:t>
            </w:r>
          </w:p>
        </w:tc>
        <w:tc>
          <w:tcPr>
            <w:tcW w:type="dxa" w:w="4320"/>
          </w:tcPr>
          <w:p>
            <w:r>
              <w:t>- Immediate disabling of compromised user accounts&lt;br&gt;- Revocation of all active sessions&lt;br&gt;- Blocked external sharing&lt;br&gt;- Initiated forensic investigation&lt;br&gt;- Quarantined affected files per cybersecai.io recommendations</w:t>
            </w:r>
          </w:p>
        </w:tc>
      </w:tr>
      <w:tr>
        <w:tc>
          <w:tcPr>
            <w:tcW w:type="dxa" w:w="4320"/>
          </w:tcPr>
          <w:p>
            <w:r>
              <w:t>**Remediation Actions**</w:t>
            </w:r>
          </w:p>
        </w:tc>
        <w:tc>
          <w:tcPr>
            <w:tcW w:type="dxa" w:w="4320"/>
          </w:tcPr>
          <w:p>
            <w:r>
              <w:t>- Forced password resets for all affected users&lt;br&gt;- Review and tightening of access controls (least privilege)&lt;br&gt;- Enhanced monitoring and DLP rules&lt;br&gt;- Security awareness training scheduled&lt;br&gt;- Review and update of incident response and data handling procedures (per cybersecai.io controls)</w:t>
            </w:r>
          </w:p>
        </w:tc>
      </w:tr>
      <w:tr>
        <w:tc>
          <w:tcPr>
            <w:tcW w:type="dxa" w:w="4320"/>
          </w:tcPr>
          <w:p>
            <w:r>
              <w:t>**Notification Required**</w:t>
            </w:r>
          </w:p>
        </w:tc>
        <w:tc>
          <w:tcPr>
            <w:tcW w:type="dxa" w:w="4320"/>
          </w:tcPr>
          <w:p>
            <w:r>
              <w:t>Yes (per PIPEDA s.10.1). Notification to all affected individuals, Office of the Privacy Commissioner (OPC), and relevant payment card brands (PCI DSS)</w:t>
            </w:r>
          </w:p>
        </w:tc>
      </w:tr>
      <w:tr>
        <w:tc>
          <w:tcPr>
            <w:tcW w:type="dxa" w:w="4320"/>
          </w:tcPr>
          <w:p>
            <w:r>
              <w:t>**Date(s) of Notification**</w:t>
            </w:r>
          </w:p>
        </w:tc>
        <w:tc>
          <w:tcPr>
            <w:tcW w:type="dxa" w:w="4320"/>
          </w:tcPr>
          <w:p>
            <w:r>
              <w:t>2024-06-20 (individuals and OPC); 2024-06-21 (payment card brands)</w:t>
            </w:r>
          </w:p>
        </w:tc>
      </w:tr>
      <w:tr>
        <w:tc>
          <w:tcPr>
            <w:tcW w:type="dxa" w:w="4320"/>
          </w:tcPr>
          <w:p>
            <w:r>
              <w:t>**Regulatory Reporting**</w:t>
            </w:r>
          </w:p>
        </w:tc>
        <w:tc>
          <w:tcPr>
            <w:tcW w:type="dxa" w:w="4320"/>
          </w:tcPr>
          <w:p>
            <w:r>
              <w:t>Reported to OPC (Ref: OPC-2024-06-19-001), PCI DSS incident report initiated</w:t>
            </w:r>
          </w:p>
        </w:tc>
      </w:tr>
      <w:tr>
        <w:tc>
          <w:tcPr>
            <w:tcW w:type="dxa" w:w="4320"/>
          </w:tcPr>
          <w:p>
            <w:r>
              <w:t>**Outcome/Resolution**</w:t>
            </w:r>
          </w:p>
        </w:tc>
        <w:tc>
          <w:tcPr>
            <w:tcW w:type="dxa" w:w="4320"/>
          </w:tcPr>
          <w:p>
            <w:r>
              <w:t>No evidence of further unauthorized access post-containment. Forensic report pending. Access controls and encryption policies updated. Disciplinary review for policy non-compliance initiated.</w:t>
            </w:r>
          </w:p>
        </w:tc>
      </w:tr>
      <w:tr>
        <w:tc>
          <w:tcPr>
            <w:tcW w:type="dxa" w:w="4320"/>
          </w:tcPr>
          <w:p>
            <w:r>
              <w:t>**Follow-Up Actions**</w:t>
            </w:r>
          </w:p>
        </w:tc>
        <w:tc>
          <w:tcPr>
            <w:tcW w:type="dxa" w:w="4320"/>
          </w:tcPr>
          <w:p>
            <w:r>
              <w:t>- Ongoing monitoring for suspicious activity&lt;br&gt;- Scheduled audit of access logs&lt;br&gt;- Policy review and update&lt;br&gt;- Penetration testing and vulnerability assessment planned&lt;br&gt;- Secure disposal of legacy data</w:t>
            </w:r>
          </w:p>
        </w:tc>
      </w:tr>
      <w:tr>
        <w:tc>
          <w:tcPr>
            <w:tcW w:type="dxa" w:w="4320"/>
          </w:tcPr>
          <w:p>
            <w:r>
              <w:t>**Log Updated By**</w:t>
            </w:r>
          </w:p>
        </w:tc>
        <w:tc>
          <w:tcPr>
            <w:tcW w:type="dxa" w:w="4320"/>
          </w:tcPr>
          <w:p>
            <w:r>
              <w:t>Michael Lee, Privacy Officer</w:t>
            </w:r>
          </w:p>
        </w:tc>
      </w:tr>
      <w:tr>
        <w:tc>
          <w:tcPr>
            <w:tcW w:type="dxa" w:w="4320"/>
          </w:tcPr>
          <w:p>
            <w:r>
              <w:t>**Date of Log Entry**</w:t>
            </w:r>
          </w:p>
        </w:tc>
        <w:tc>
          <w:tcPr>
            <w:tcW w:type="dxa" w:w="4320"/>
          </w:tcPr>
          <w:p>
            <w:r>
              <w:t>2024-06-21</w:t>
            </w:r>
          </w:p>
        </w:tc>
      </w:tr>
    </w:tbl>
    <w:p>
      <w:r>
        <w:br/>
      </w:r>
    </w:p>
    <w:p>
      <w:pPr>
        <w:pStyle w:val="Heading2"/>
      </w:pPr>
      <w:r>
        <w:t>6. Regulatory Cross-References and Data Risk Insights</w:t>
      </w:r>
    </w:p>
    <w:p>
      <w:pPr>
        <w:pStyle w:val="ListBullet"/>
      </w:pPr>
      <w:r>
        <w:t>**PIPEDA s.10.1:** Mandatory notification to individuals and OPC due to real risk of significant harm.</w:t>
      </w:r>
    </w:p>
    <w:p>
      <w:pPr>
        <w:pStyle w:val="ListBullet"/>
      </w:pPr>
      <w:r>
        <w:t>**PIPEDA s.10.2:** Notification to payment card brands and other organizations to mitigate harm.</w:t>
      </w:r>
    </w:p>
    <w:p>
      <w:pPr>
        <w:pStyle w:val="ListBullet"/>
      </w:pPr>
      <w:r>
        <w:t>**PIPEDA s.10.3:** Record retained for at least 24 months.</w:t>
      </w:r>
    </w:p>
    <w:p>
      <w:pPr>
        <w:pStyle w:val="ListBullet"/>
      </w:pPr>
      <w:r>
        <w:t>**GDPR, Australian Privacy Act, CCPA/CPRA, PCI DSS:** Data fields involved are regulated and considered highly sensitive. Data breach triggers notification and remediation obligations in multiple jurisdictions.</w:t>
      </w:r>
    </w:p>
    <w:p>
      <w:pPr>
        <w:pStyle w:val="Heading3"/>
      </w:pPr>
      <w:r>
        <w:t>Data Risk &amp; Controls (per cybersecai.io platform analysis):</w:t>
      </w:r>
    </w:p>
    <w:p>
      <w:pPr>
        <w:pStyle w:val="ListBullet"/>
      </w:pPr>
      <w:r>
        <w:t>**Detected Fields:** Full Name, Date of Birth, Address, Email Address, Phone Number, Bank/Credit Card Number, Login Credentials, Tax ID, Driver’s License Number</w:t>
      </w:r>
    </w:p>
    <w:p>
      <w:pPr>
        <w:pStyle w:val="ListBullet"/>
      </w:pPr>
      <w:r>
        <w:t>**Overall Risk Rating:** High</w:t>
      </w:r>
    </w:p>
    <w:p>
      <w:pPr>
        <w:pStyle w:val="ListBullet"/>
      </w:pPr>
      <w:r>
        <w:t>**Data Classification:** Highly Sensitive</w:t>
      </w:r>
    </w:p>
    <w:p>
      <w:pPr>
        <w:pStyle w:val="ListBullet"/>
      </w:pPr>
      <w:r>
        <w:rPr>
          <w:b/>
        </w:rPr>
        <w:t>Proposed Controls:</w:t>
      </w:r>
    </w:p>
    <w:p>
      <w:pPr>
        <w:pStyle w:val="ListBullet2"/>
      </w:pPr>
      <w:r>
        <w:t>Implement strong access controls and least privilege (ISO 27001 A.9, NIST AC-6)</w:t>
      </w:r>
    </w:p>
    <w:p>
      <w:pPr>
        <w:pStyle w:val="ListBullet2"/>
      </w:pPr>
      <w:r>
        <w:t>Encrypt data at rest and in transit (ISO 27001 A.10, NIST SC-13/SC-28)</w:t>
      </w:r>
    </w:p>
    <w:p>
      <w:pPr>
        <w:pStyle w:val="ListBullet2"/>
      </w:pPr>
      <w:r>
        <w:t>Apply multi-factor authentication (ISO 27001 A.9, NIST IA-2)</w:t>
      </w:r>
    </w:p>
    <w:p>
      <w:pPr>
        <w:pStyle w:val="ListBullet2"/>
      </w:pPr>
      <w:r>
        <w:t>Regular audit and monitoring (ISO 27001 A.12, NIST AU-2/AU-6)</w:t>
      </w:r>
    </w:p>
    <w:p>
      <w:pPr>
        <w:pStyle w:val="ListBullet2"/>
      </w:pPr>
      <w:r>
        <w:t>Security awareness training (ISO 27001 A.7, NIST AT-2)</w:t>
      </w:r>
    </w:p>
    <w:p>
      <w:pPr>
        <w:pStyle w:val="ListBullet2"/>
      </w:pPr>
      <w:r>
        <w:t>Secure disposal of sensitive data (ISO 27001 A.11, NIST MP-6)</w:t>
      </w:r>
    </w:p>
    <w:p>
      <w:pPr>
        <w:pStyle w:val="ListBullet2"/>
      </w:pPr>
      <w:r>
        <w:t>Maintain incident response and notification procedures (ISO 27035, NIST IR-4)</w:t>
      </w:r>
    </w:p>
    <w:p>
      <w:pPr>
        <w:pStyle w:val="ListBullet2"/>
      </w:pPr>
      <w:r>
        <w:t>Penetration testing and vulnerability assessments (ISO 27001 A.12.6.1, NIST RA-5)</w:t>
      </w:r>
    </w:p>
    <w:p>
      <w:r>
        <w:t>*Source of risk and controls data: cybersecai.io platform, M365 and AWS S3 integrations.*</w:t>
      </w:r>
    </w:p>
    <w:p>
      <w:r>
        <w:br/>
      </w:r>
    </w:p>
    <w:p>
      <w:pPr>
        <w:pStyle w:val="Heading2"/>
      </w:pPr>
      <w:r>
        <w:t>7. Retention and Security of Log</w:t>
      </w:r>
    </w:p>
    <w:p>
      <w:pPr>
        <w:pStyle w:val="ListBullet"/>
      </w:pPr>
      <w:r>
        <w:t>This Data Breach Log will be retained for a minimum of 24 months from the date of breach (PIPEDA s.10.3(3)).</w:t>
      </w:r>
    </w:p>
    <w:p>
      <w:pPr>
        <w:pStyle w:val="ListBullet"/>
      </w:pPr>
      <w:r>
        <w:t>Log is stored securely and accessible only to authorized personnel.</w:t>
      </w:r>
    </w:p>
    <w:p>
      <w:r>
        <w:br/>
      </w:r>
    </w:p>
    <w:p>
      <w:r>
        <w:t xml:space="preserve">**Reviewed and Approved by:**  </w:t>
      </w:r>
    </w:p>
    <w:p>
      <w:r>
        <w:t xml:space="preserve">Michael Lee, Privacy Officer, Oakville HealthCare Provider  </w:t>
      </w:r>
    </w:p>
    <w:p>
      <w:r>
        <w:t>**Effective Date:** 2024-06-21</w:t>
      </w:r>
    </w:p>
    <w:p>
      <w:r>
        <w:br/>
      </w:r>
    </w:p>
    <w:p>
      <w:r>
        <w:t>```</w:t>
      </w:r>
    </w:p>
    <w:p>
      <w:r>
        <w:t>*This document incorporates risk and regulatory insights derived from the cybersecai.io platform and its integrations with M365 and AWS S3. All recommendations and data field identifications are based on automated and expert analysis from cybersecai.io as of the date of this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