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Breach Notification Procedure</w:t>
      </w:r>
    </w:p>
    <w:p>
      <w:r>
        <w:t xml:space="preserve">**cybersecai Pty Ltd**  </w:t>
      </w:r>
    </w:p>
    <w:p>
      <w:r>
        <w:t>*Effective: [Insert Date]*</w:t>
      </w:r>
    </w:p>
    <w:p>
      <w:r>
        <w:br/>
      </w:r>
    </w:p>
    <w:p>
      <w:pPr>
        <w:pStyle w:val="Heading1"/>
      </w:pPr>
      <w:r>
        <w:t>1. Purpose</w:t>
      </w:r>
    </w:p>
    <w:p>
      <w:r>
        <w:t>This Procedure establishes the mandatory steps for identifying, assessing, and notifying eligible data breaches in accordance with the Privacy Act 1988 (Cth), the Notifiable Data Breaches (NDB) Scheme, and other applicable data protection standards such as the GDPR and PCI DSS, where relevant. It ensures timely, accurate, and compliant notification to affected individuals and the Office of the Australian Information Commissioner (OAIC).</w:t>
      </w:r>
    </w:p>
    <w:p>
      <w:r>
        <w:br/>
      </w:r>
    </w:p>
    <w:p>
      <w:pPr>
        <w:pStyle w:val="Heading1"/>
      </w:pPr>
      <w:r>
        <w:t>2. Scope</w:t>
      </w:r>
    </w:p>
    <w:p>
      <w:r>
        <w:t>This Procedure applies to all personnel, contractors, and third parties handling personal information on behalf of cybersecai Pty Ltd, including data sets containing regulated fields as identified by the cybersecai.io platform.</w:t>
      </w:r>
    </w:p>
    <w:p>
      <w:r>
        <w:br/>
      </w:r>
    </w:p>
    <w:p>
      <w:pPr>
        <w:pStyle w:val="Heading1"/>
      </w:pPr>
      <w:r>
        <w:t>3. Definitions</w:t>
      </w:r>
    </w:p>
    <w:p>
      <w:pPr>
        <w:pStyle w:val="ListBullet"/>
      </w:pPr>
      <w:r>
        <w:t>**Eligible Data Breach:** A data breach likely to result in serious harm to any individual to whom the information relates (s 26WE, Privacy Act).</w:t>
      </w:r>
    </w:p>
    <w:p>
      <w:pPr>
        <w:pStyle w:val="ListBullet"/>
      </w:pPr>
      <w:r>
        <w:t>**Personal Information:** As defined in s 6(1), Privacy Act 1988 (Cth), and includes regulated data fields such as full name, address, date of birth, email address, financial account details, tax file numbers, driver’s license numbers, credit card numbers, login credentials, and other identifiers as detected by cybersecai.io.</w:t>
      </w:r>
    </w:p>
    <w:p>
      <w:pPr>
        <w:pStyle w:val="ListBullet"/>
      </w:pPr>
      <w:r>
        <w:t>**OAIC:** Office of the Australian Information Commissioner.</w:t>
      </w:r>
    </w:p>
    <w:p>
      <w:pPr>
        <w:pStyle w:val="ListBullet"/>
      </w:pPr>
      <w:r>
        <w:t>**Regulated Data Fields:** Information types that are subject to heightened legal protection under the GDPR, Australian Privacy Act, and PCI DSS, including but not limited to: full names, addresses, dates of birth, email addresses, bank account numbers, tax file numbers, driver’s license numbers, credit card numbers, login credentials, and device IDs.</w:t>
      </w:r>
    </w:p>
    <w:p>
      <w:r>
        <w:br/>
      </w:r>
    </w:p>
    <w:p>
      <w:pPr>
        <w:pStyle w:val="Heading1"/>
      </w:pPr>
      <w:r>
        <w:t>4. Responsibilities</w:t>
      </w:r>
    </w:p>
    <w:p>
      <w:pPr>
        <w:pStyle w:val="ListBullet"/>
      </w:pPr>
      <w:r>
        <w:rPr>
          <w:b/>
        </w:rPr>
        <w:t>Chief Privacy Officer (CPO):</w:t>
      </w:r>
    </w:p>
    <w:p>
      <w:pPr>
        <w:pStyle w:val="ListBullet2"/>
      </w:pPr>
      <w:r>
        <w:t>Overall responsibility for breach management and notifications.</w:t>
      </w:r>
    </w:p>
    <w:p>
      <w:pPr>
        <w:pStyle w:val="ListBullet"/>
      </w:pPr>
      <w:r>
        <w:rPr>
          <w:b/>
        </w:rPr>
        <w:t>IT Security Team:</w:t>
      </w:r>
    </w:p>
    <w:p>
      <w:pPr>
        <w:pStyle w:val="ListBullet2"/>
      </w:pPr>
      <w:r>
        <w:t>Immediate containment and technical assessment of suspected breaches.</w:t>
      </w:r>
    </w:p>
    <w:p>
      <w:pPr>
        <w:pStyle w:val="ListBullet"/>
      </w:pPr>
      <w:r>
        <w:rPr>
          <w:b/>
        </w:rPr>
        <w:t>All Staff:</w:t>
      </w:r>
    </w:p>
    <w:p>
      <w:pPr>
        <w:pStyle w:val="ListBullet2"/>
      </w:pPr>
      <w:r>
        <w:t>Obligation to report any suspected or actual data breach immediately to the CPO.</w:t>
      </w:r>
    </w:p>
    <w:p>
      <w:r>
        <w:br/>
      </w:r>
    </w:p>
    <w:p>
      <w:pPr>
        <w:pStyle w:val="Heading1"/>
      </w:pPr>
      <w:r>
        <w:t>5. Procedure</w:t>
      </w:r>
    </w:p>
    <w:p>
      <w:pPr>
        <w:pStyle w:val="Heading2"/>
      </w:pPr>
      <w:r>
        <w:t>5.1. Identification and Initial Reporting</w:t>
      </w:r>
    </w:p>
    <w:p>
      <w:pPr>
        <w:pStyle w:val="ListBullet"/>
      </w:pPr>
      <w:r>
        <w:t>Any staff member who becomes aware of a suspected or actual data breach must immediately notify the CPO via [designated reporting channel/email].</w:t>
      </w:r>
    </w:p>
    <w:p>
      <w:pPr>
        <w:pStyle w:val="ListBullet"/>
      </w:pPr>
      <w:r>
        <w:t>The CPO must log the incident and commence a preliminary assessment within 24 hours.</w:t>
      </w:r>
    </w:p>
    <w:p>
      <w:pPr>
        <w:pStyle w:val="ListBullet"/>
      </w:pPr>
      <w:r>
        <w:t>All incidents involving regulated data fields (as detected by cybersecai.io) must be escalated as high risk.</w:t>
      </w:r>
    </w:p>
    <w:p>
      <w:pPr>
        <w:pStyle w:val="Heading3"/>
      </w:pPr>
      <w:r>
        <w:t>**cybersecai.io Data Risk Context**</w:t>
      </w:r>
    </w:p>
    <w:p>
      <w:pPr>
        <w:jc w:val="left"/>
      </w:pPr>
      <w:r>
        <w:rPr>
          <w:i/>
        </w:rPr>
        <w:t>According to the cybersecai.io platform, recent data sets under review have included multiple regulated data fields—such as full names, addresses, dates of birth, email addresses, bank account numbers, tax file numbers, driver’s license numbers, credit card numbers, and login credentials—triggering a **High** overall risk rating under GDPR, the Australian Privacy Act, and PCI DSS. The presence of these fields requires immediate escalation and careful handling.</w:t>
      </w:r>
    </w:p>
    <w:p>
      <w:pPr>
        <w:pStyle w:val="Heading2"/>
      </w:pPr>
      <w:r>
        <w:t>5.2. Containment and Assessment</w:t>
      </w:r>
    </w:p>
    <w:p>
      <w:pPr>
        <w:pStyle w:val="ListBullet"/>
      </w:pPr>
      <w:r>
        <w:t>The IT Security Team must take all reasonable steps to contain the breach and prevent further unauthorised access or disclosure.</w:t>
      </w:r>
    </w:p>
    <w:p>
      <w:pPr>
        <w:pStyle w:val="ListBullet"/>
      </w:pPr>
      <w:r>
        <w:t>The CPO, in consultation with relevant stakeholders, must assess within 72 hours whether:</w:t>
      </w:r>
    </w:p>
    <w:p>
      <w:pPr>
        <w:pStyle w:val="ListBullet"/>
      </w:pPr>
      <w:r>
        <w:t>There has been unauthorised access to, or disclosure of, personal information (or loss likely to result in such access/disclosure); and</w:t>
      </w:r>
    </w:p>
    <w:p>
      <w:pPr>
        <w:pStyle w:val="ListBullet"/>
      </w:pPr>
      <w:r>
        <w:t>The breach is likely to result in serious harm to any individual (s 26WE).</w:t>
      </w:r>
    </w:p>
    <w:p>
      <w:pPr>
        <w:pStyle w:val="ListBullet"/>
      </w:pPr>
      <w:r>
        <w:t>Assessment must specifically consider the sensitivity and volume of regulated data fields involved, as flagged by cybersecai.io.</w:t>
      </w:r>
    </w:p>
    <w:p>
      <w:pPr>
        <w:pStyle w:val="Heading3"/>
      </w:pPr>
      <w:r>
        <w:t>**cybersecai.io Platform Guidance**</w:t>
      </w:r>
    </w:p>
    <w:p>
      <w:pPr>
        <w:jc w:val="left"/>
      </w:pPr>
      <w:r>
        <w:rPr>
          <w:i/>
        </w:rPr>
        <w:t>The cybersecai.io platform’s auditor agent view notes that the presence of multiple regulated identifiers (including full names, addresses, financial and tax data, and authentication credentials) in a single document or system significantly elevates the risk of unauthorized disclosure or misuse, and may require file quarantine and immediate notification.</w:t>
      </w:r>
    </w:p>
    <w:p>
      <w:pPr>
        <w:pStyle w:val="Heading2"/>
      </w:pPr>
      <w:r>
        <w:t>5.3. Determination of Eligibility</w:t>
      </w:r>
    </w:p>
    <w:p>
      <w:pPr>
        <w:pStyle w:val="ListBullet"/>
      </w:pPr>
      <w:r>
        <w:t>If the breach is assessed as an “eligible data breach”, proceed to notification steps.</w:t>
      </w:r>
    </w:p>
    <w:p>
      <w:pPr>
        <w:pStyle w:val="ListBullet"/>
      </w:pPr>
      <w:r>
        <w:t>If not, document the assessment and actions taken. No notification is required, but records must be retained.</w:t>
      </w:r>
    </w:p>
    <w:p>
      <w:pPr>
        <w:pStyle w:val="ListBullet"/>
      </w:pPr>
      <w:r>
        <w:t>Where cybersecai.io has flagged a **High** risk rating and recommended quarantine or notification, the CPO must treat the incident as potentially notifiable unless a clear exception applies.</w:t>
      </w:r>
    </w:p>
    <w:p>
      <w:pPr>
        <w:pStyle w:val="Heading2"/>
      </w:pPr>
      <w:r>
        <w:t>5.4. Notification</w:t>
      </w:r>
    </w:p>
    <w:p>
      <w:pPr>
        <w:pStyle w:val="Heading3"/>
      </w:pPr>
      <w:r>
        <w:t>5.4.1. Notification to OAIC</w:t>
      </w:r>
    </w:p>
    <w:p>
      <w:pPr>
        <w:pStyle w:val="ListBullet"/>
      </w:pPr>
      <w:r>
        <w:t>Notify the OAIC as soon as practicable, and no later than 30 days after becoming aware of the breach (s 26WK).</w:t>
      </w:r>
    </w:p>
    <w:p>
      <w:pPr>
        <w:pStyle w:val="ListBullet"/>
      </w:pPr>
      <w:r>
        <w:t>Use the OAIC’s Notifiable Data Breach form, including:</w:t>
      </w:r>
    </w:p>
    <w:p>
      <w:pPr>
        <w:pStyle w:val="ListBullet"/>
      </w:pPr>
      <w:r>
        <w:t>Description of the breach.</w:t>
      </w:r>
    </w:p>
    <w:p>
      <w:pPr>
        <w:pStyle w:val="ListBullet"/>
      </w:pPr>
      <w:r>
        <w:t>The kind(s) of information involved (e.g., full names, addresses, dates of birth, bank account numbers, tax file numbers, driver’s license numbers, credit card numbers, login credentials, device IDs, as per cybersecai.io detection).</w:t>
      </w:r>
    </w:p>
    <w:p>
      <w:pPr>
        <w:pStyle w:val="ListBullet"/>
      </w:pPr>
      <w:r>
        <w:t>Recommendations for affected individuals.</w:t>
      </w:r>
    </w:p>
    <w:p>
      <w:pPr>
        <w:pStyle w:val="ListBullet"/>
      </w:pPr>
      <w:r>
        <w:t>Contact details for further information.</w:t>
      </w:r>
    </w:p>
    <w:p>
      <w:pPr>
        <w:pStyle w:val="Heading3"/>
      </w:pPr>
      <w:r>
        <w:t>5.4.2. Notification to Affected Individuals</w:t>
      </w:r>
    </w:p>
    <w:p>
      <w:pPr>
        <w:pStyle w:val="ListBullet"/>
      </w:pPr>
      <w:r>
        <w:t>Notify all individuals at risk of serious harm as soon as practicable after completing the assessment.</w:t>
      </w:r>
    </w:p>
    <w:p>
      <w:pPr>
        <w:pStyle w:val="ListBullet"/>
      </w:pPr>
      <w:r>
        <w:t>If direct notification is not practicable, publish a statement on the company website and take reasonable steps to publicise it (s 26WL).</w:t>
      </w:r>
    </w:p>
    <w:p>
      <w:pPr>
        <w:pStyle w:val="ListBullet"/>
      </w:pPr>
      <w:r>
        <w:t>Notification must include:</w:t>
      </w:r>
    </w:p>
    <w:p>
      <w:pPr>
        <w:pStyle w:val="ListBullet"/>
      </w:pPr>
      <w:r>
        <w:t>Identity and contact details of cybersecai Pty Ltd.</w:t>
      </w:r>
    </w:p>
    <w:p>
      <w:pPr>
        <w:pStyle w:val="ListBullet"/>
      </w:pPr>
      <w:r>
        <w:t>Description of the breach.</w:t>
      </w:r>
    </w:p>
    <w:p>
      <w:pPr>
        <w:pStyle w:val="ListBullet"/>
      </w:pPr>
      <w:r>
        <w:t>The kind(s) of information involved (with reference to regulated data fields as detected).</w:t>
      </w:r>
    </w:p>
    <w:p>
      <w:pPr>
        <w:pStyle w:val="ListBullet"/>
      </w:pPr>
      <w:r>
        <w:t>Recommendations for steps individuals should take (e.g., monitor accounts, change passwords, contact financial institutions).</w:t>
      </w:r>
    </w:p>
    <w:p>
      <w:pPr>
        <w:pStyle w:val="ListBullet"/>
      </w:pPr>
      <w:r>
        <w:t>Contact details for further information.</w:t>
      </w:r>
    </w:p>
    <w:p>
      <w:pPr>
        <w:pStyle w:val="Heading2"/>
      </w:pPr>
      <w:r>
        <w:t>5.5. Record-Keeping</w:t>
      </w:r>
    </w:p>
    <w:p>
      <w:pPr>
        <w:pStyle w:val="ListBullet"/>
      </w:pPr>
      <w:r>
        <w:t>Maintain detailed records of:</w:t>
      </w:r>
    </w:p>
    <w:p>
      <w:pPr>
        <w:pStyle w:val="ListBullet"/>
      </w:pPr>
      <w:r>
        <w:t>The breach and assessment process.</w:t>
      </w:r>
    </w:p>
    <w:p>
      <w:pPr>
        <w:pStyle w:val="ListBullet"/>
      </w:pPr>
      <w:r>
        <w:t>Notifications made.</w:t>
      </w:r>
    </w:p>
    <w:p>
      <w:pPr>
        <w:pStyle w:val="ListBullet"/>
      </w:pPr>
      <w:r>
        <w:t>Remedial actions taken.</w:t>
      </w:r>
    </w:p>
    <w:p>
      <w:pPr>
        <w:pStyle w:val="ListBullet"/>
      </w:pPr>
      <w:r>
        <w:t>Retain records for a minimum of 7 years.</w:t>
      </w:r>
    </w:p>
    <w:p>
      <w:pPr>
        <w:pStyle w:val="ListBullet"/>
      </w:pPr>
      <w:r>
        <w:t>Ensure all records note the presence and type of regulated data fields involved, as identified by cybersecai.io.</w:t>
      </w:r>
    </w:p>
    <w:p>
      <w:r>
        <w:br/>
      </w:r>
    </w:p>
    <w:p>
      <w:pPr>
        <w:pStyle w:val="Heading1"/>
      </w:pPr>
      <w:r>
        <w:t>6. Regulatory References</w:t>
      </w:r>
    </w:p>
    <w:p>
      <w:pPr>
        <w:pStyle w:val="ListBullet"/>
      </w:pPr>
      <w:r>
        <w:rPr>
          <w:b/>
        </w:rPr>
        <w:t>Privacy Act 1988 (Cth):</w:t>
      </w:r>
    </w:p>
    <w:p>
      <w:pPr>
        <w:pStyle w:val="ListBullet2"/>
      </w:pPr>
      <w:r>
        <w:t>Part IIIC – Notifiable Data Breaches (ss 26WE–26WL)</w:t>
      </w:r>
    </w:p>
    <w:p>
      <w:pPr>
        <w:pStyle w:val="ListBullet"/>
      </w:pPr>
      <w:r>
        <w:rPr>
          <w:b/>
        </w:rPr>
        <w:t>OAIC Guidance:</w:t>
      </w:r>
    </w:p>
    <w:p>
      <w:pPr>
        <w:pStyle w:val="ListBullet2"/>
      </w:pPr>
      <w:r>
        <w:t>[OAIC NDB Resources](https://www.oaic.gov.au/privacy/notifiable-data-breaches/)</w:t>
      </w:r>
    </w:p>
    <w:p>
      <w:pPr>
        <w:pStyle w:val="ListBullet"/>
      </w:pPr>
      <w:r>
        <w:rPr>
          <w:b/>
        </w:rPr>
        <w:t>GDPR (General Data Protection Regulation):</w:t>
      </w:r>
    </w:p>
    <w:p>
      <w:pPr>
        <w:pStyle w:val="ListBullet2"/>
      </w:pPr>
      <w:r>
        <w:t>Articles 33 &amp; 34 – Notification of a personal data breach to the supervisory authority and to data subjects</w:t>
      </w:r>
    </w:p>
    <w:p>
      <w:pPr>
        <w:pStyle w:val="ListBullet"/>
      </w:pPr>
      <w:r>
        <w:rPr>
          <w:b/>
        </w:rPr>
        <w:t>PCI DSS (Payment Card Industry Data Security Standard):</w:t>
      </w:r>
    </w:p>
    <w:p>
      <w:pPr>
        <w:pStyle w:val="ListBullet2"/>
      </w:pPr>
      <w:r>
        <w:t>Requirements for reporting and managing payment card data breaches</w:t>
      </w:r>
    </w:p>
    <w:p>
      <w:r>
        <w:br/>
      </w:r>
    </w:p>
    <w:p>
      <w:pPr>
        <w:pStyle w:val="Heading1"/>
      </w:pPr>
      <w:r>
        <w:t>7. Review</w:t>
      </w:r>
    </w:p>
    <w:p>
      <w:r>
        <w:t>This Procedure will be reviewed annually, or following any eligible data breach, to ensure ongoing compliance and effectiveness. Reviews must incorporate findings and recommendations from cybersecai.io risk assessments and auditor agent views.</w:t>
      </w:r>
    </w:p>
    <w:p>
      <w:r>
        <w:br/>
      </w:r>
    </w:p>
    <w:p>
      <w:r>
        <w:t xml:space="preserve">*Approved by: [Name, Title]*  </w:t>
      </w:r>
    </w:p>
    <w:p>
      <w:r>
        <w:t>*Date: [Insert Date]*</w:t>
      </w:r>
    </w:p>
    <w:p>
      <w:r>
        <w:br/>
      </w:r>
    </w:p>
    <w:p>
      <w:r>
        <w:t>**End of Procedure**</w:t>
      </w:r>
    </w:p>
    <w:p>
      <w:r>
        <w:br/>
      </w:r>
    </w:p>
    <w:p>
      <w:pPr>
        <w:jc w:val="left"/>
      </w:pPr>
      <w:r>
        <w:rPr>
          <w:i/>
        </w:rPr>
        <w:t>**Expert Note:**</w:t>
      </w:r>
    </w:p>
    <w:p>
      <w:pPr>
        <w:jc w:val="left"/>
      </w:pPr>
      <w:r>
        <w:rPr>
          <w:i/>
        </w:rPr>
        <w:t>This document incorporates risk intelligence and field detection sourced from the cybersecai.io platform, which has identified the presence of highly sensitive regulated data fields across multiple data sets, resulting in a high overall risk rating and triggering the need for immediate escalation, quarantine, and notification procedures in accordance with Australian and international privacy and data security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