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Pepsi Pty Ltd</w:t>
      </w:r>
    </w:p>
    <w:p>
      <w:pPr>
        <w:pStyle w:val="Heading1"/>
      </w:pPr>
      <w:r>
        <w:t>Data Breach Register / Log</w:t>
      </w:r>
    </w:p>
    <w:p>
      <w:r>
        <w:t xml:space="preserve">**Purpose:**  </w:t>
      </w:r>
    </w:p>
    <w:p>
      <w:r>
        <w:t>To maintain a centralized, comprehensive record of all data breaches and security incidents, including actions taken and outcomes, in accordance with best practices (NIST, FTC) and regulatory requirements (e.g., HIPAA, GDPR, Australian Privacy Act, PCI DSS).</w:t>
      </w:r>
    </w:p>
    <w:p>
      <w:r>
        <w:br/>
      </w:r>
    </w:p>
    <w:p>
      <w:pPr>
        <w:pStyle w:val="Heading2"/>
      </w:pPr>
      <w:r>
        <w:t>1. Responsibilities</w:t>
      </w:r>
    </w:p>
    <w:p>
      <w:pPr>
        <w:pStyle w:val="ListBullet"/>
      </w:pPr>
      <w:r>
        <w:rPr>
          <w:b/>
        </w:rPr>
        <w:t>Data Protection Officer (DPO) / Privacy Officer:</w:t>
      </w:r>
    </w:p>
    <w:p>
      <w:r>
        <w:t xml:space="preserve">  Overall responsibility for maintaining and updating the Data Breach Register.</w:t>
      </w:r>
    </w:p>
    <w:p>
      <w:pPr>
        <w:pStyle w:val="ListBullet"/>
      </w:pPr>
      <w:r>
        <w:rPr>
          <w:b/>
        </w:rPr>
        <w:t>IT Security Team:</w:t>
      </w:r>
    </w:p>
    <w:p>
      <w:r>
        <w:t xml:space="preserve">  Responsible for timely notification of incidents and provision of technical details.</w:t>
      </w:r>
    </w:p>
    <w:p>
      <w:pPr>
        <w:pStyle w:val="ListBullet"/>
      </w:pPr>
      <w:r>
        <w:rPr>
          <w:b/>
        </w:rPr>
        <w:t>Legal &amp; Compliance:</w:t>
      </w:r>
    </w:p>
    <w:p>
      <w:r>
        <w:t xml:space="preserve">  Ensures regulatory obligations are met and advises on notification requirements.</w:t>
      </w:r>
    </w:p>
    <w:p>
      <w:pPr>
        <w:pStyle w:val="ListBullet"/>
      </w:pPr>
      <w:r>
        <w:rPr>
          <w:b/>
        </w:rPr>
        <w:t>Incident Response Team:</w:t>
      </w:r>
    </w:p>
    <w:p>
      <w:r>
        <w:t xml:space="preserve">  Coordinates investigation, containment, eradication, and recovery activities.</w:t>
      </w:r>
    </w:p>
    <w:p>
      <w:r>
        <w:br/>
      </w:r>
    </w:p>
    <w:p>
      <w:pPr>
        <w:pStyle w:val="Heading2"/>
      </w:pPr>
      <w:r>
        <w:t>2. Data Breach Register Table</w:t>
      </w:r>
    </w:p>
    <w:tbl>
      <w:tblPr>
        <w:tblStyle w:val="LightGrid-Accent1"/>
        <w:tblW w:type="auto" w:w="0"/>
        <w:tblLook w:firstColumn="1" w:firstRow="1" w:lastColumn="0" w:lastRow="0" w:noHBand="0" w:noVBand="1" w:val="04A0"/>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r>
              <w:t>Incident ID</w:t>
            </w:r>
          </w:p>
        </w:tc>
        <w:tc>
          <w:tcPr>
            <w:tcW w:type="dxa" w:w="480"/>
          </w:tcPr>
          <w:p>
            <w:r>
              <w:t>Date &amp; Time Detected</w:t>
            </w:r>
          </w:p>
        </w:tc>
        <w:tc>
          <w:tcPr>
            <w:tcW w:type="dxa" w:w="480"/>
          </w:tcPr>
          <w:p>
            <w:r>
              <w:t>Date &amp; Time Reported</w:t>
            </w:r>
          </w:p>
        </w:tc>
        <w:tc>
          <w:tcPr>
            <w:tcW w:type="dxa" w:w="480"/>
          </w:tcPr>
          <w:p>
            <w:r>
              <w:t>Reported By</w:t>
            </w:r>
          </w:p>
        </w:tc>
        <w:tc>
          <w:tcPr>
            <w:tcW w:type="dxa" w:w="480"/>
          </w:tcPr>
          <w:p>
            <w:r>
              <w:t>Description of Incident</w:t>
            </w:r>
          </w:p>
        </w:tc>
        <w:tc>
          <w:tcPr>
            <w:tcW w:type="dxa" w:w="480"/>
          </w:tcPr>
          <w:p>
            <w:r>
              <w:t>Data Types Involved</w:t>
            </w:r>
          </w:p>
        </w:tc>
        <w:tc>
          <w:tcPr>
            <w:tcW w:type="dxa" w:w="480"/>
          </w:tcPr>
          <w:p>
            <w:r>
              <w:t>Affected Individuals/Records</w:t>
            </w:r>
          </w:p>
        </w:tc>
        <w:tc>
          <w:tcPr>
            <w:tcW w:type="dxa" w:w="480"/>
          </w:tcPr>
          <w:p>
            <w:r>
              <w:t>Initial Risk Assessment</w:t>
            </w:r>
          </w:p>
        </w:tc>
        <w:tc>
          <w:tcPr>
            <w:tcW w:type="dxa" w:w="480"/>
          </w:tcPr>
          <w:p>
            <w:r>
              <w:t>Containment Actions</w:t>
            </w:r>
          </w:p>
        </w:tc>
        <w:tc>
          <w:tcPr>
            <w:tcW w:type="dxa" w:w="480"/>
          </w:tcPr>
          <w:p>
            <w:r>
              <w:t>Investigation Findings</w:t>
            </w:r>
          </w:p>
        </w:tc>
        <w:tc>
          <w:tcPr>
            <w:tcW w:type="dxa" w:w="480"/>
          </w:tcPr>
          <w:p>
            <w:r>
              <w:t>Notification Required (Y/N)</w:t>
            </w:r>
          </w:p>
        </w:tc>
        <w:tc>
          <w:tcPr>
            <w:tcW w:type="dxa" w:w="480"/>
          </w:tcPr>
          <w:p>
            <w:r>
              <w:t>Regulatory Notifications (e.g., FTC, HHS OCR)</w:t>
            </w:r>
          </w:p>
        </w:tc>
        <w:tc>
          <w:tcPr>
            <w:tcW w:type="dxa" w:w="480"/>
          </w:tcPr>
          <w:p>
            <w:r>
              <w:t>Date of Notification</w:t>
            </w:r>
          </w:p>
        </w:tc>
        <w:tc>
          <w:tcPr>
            <w:tcW w:type="dxa" w:w="480"/>
          </w:tcPr>
          <w:p>
            <w:r>
              <w:t>Remediation Actions</w:t>
            </w:r>
          </w:p>
        </w:tc>
        <w:tc>
          <w:tcPr>
            <w:tcW w:type="dxa" w:w="480"/>
          </w:tcPr>
          <w:p>
            <w:r>
              <w:t>Outcome/Resolution</w:t>
            </w:r>
          </w:p>
        </w:tc>
        <w:tc>
          <w:tcPr>
            <w:tcW w:type="dxa" w:w="480"/>
          </w:tcPr>
          <w:p>
            <w:r>
              <w:t>Lessons Learned</w:t>
            </w:r>
          </w:p>
        </w:tc>
        <w:tc>
          <w:tcPr>
            <w:tcW w:type="dxa" w:w="480"/>
          </w:tcPr>
          <w:p>
            <w:r>
              <w:t>Register Updated By</w:t>
            </w:r>
          </w:p>
        </w:tc>
        <w:tc>
          <w:tcPr>
            <w:tcW w:type="dxa" w:w="480"/>
          </w:tcPr>
          <w:p>
            <w:r>
              <w:t>Date Updated</w:t>
            </w:r>
          </w:p>
        </w:tc>
      </w:tr>
      <w:tr>
        <w:tc>
          <w:tcPr>
            <w:tcW w:type="dxa" w:w="480"/>
          </w:tcPr>
          <w:p>
            <w:r>
              <w:t>2024-001</w:t>
            </w:r>
          </w:p>
        </w:tc>
        <w:tc>
          <w:tcPr>
            <w:tcW w:type="dxa" w:w="480"/>
          </w:tcPr>
          <w:p>
            <w:r>
              <w:t>2024-06-10 09:30</w:t>
            </w:r>
          </w:p>
        </w:tc>
        <w:tc>
          <w:tcPr>
            <w:tcW w:type="dxa" w:w="480"/>
          </w:tcPr>
          <w:p>
            <w:r>
              <w:t>2024-06-10 10:00</w:t>
            </w:r>
          </w:p>
        </w:tc>
        <w:tc>
          <w:tcPr>
            <w:tcW w:type="dxa" w:w="480"/>
          </w:tcPr>
          <w:p>
            <w:r>
              <w:t>IT Security</w:t>
            </w:r>
          </w:p>
        </w:tc>
        <w:tc>
          <w:tcPr>
            <w:tcW w:type="dxa" w:w="480"/>
          </w:tcPr>
          <w:p>
            <w:r>
              <w:t>Unauthorized access to M365 files containing regulated data</w:t>
            </w:r>
          </w:p>
        </w:tc>
        <w:tc>
          <w:tcPr>
            <w:tcW w:type="dxa" w:w="480"/>
          </w:tcPr>
          <w:p>
            <w:r>
              <w:t>Full Name, Address, Date of Birth, Email Address, Bank Account Number, Financial Account, Australian Business Number</w:t>
            </w:r>
          </w:p>
        </w:tc>
        <w:tc>
          <w:tcPr>
            <w:tcW w:type="dxa" w:w="480"/>
          </w:tcPr>
          <w:p>
            <w:r>
              <w:t>1,200 records (customers &amp; employees)</w:t>
            </w:r>
          </w:p>
        </w:tc>
        <w:tc>
          <w:tcPr>
            <w:tcW w:type="dxa" w:w="480"/>
          </w:tcPr>
          <w:p>
            <w:r>
              <w:t>High</w:t>
            </w:r>
          </w:p>
        </w:tc>
        <w:tc>
          <w:tcPr>
            <w:tcW w:type="dxa" w:w="480"/>
          </w:tcPr>
          <w:p>
            <w:r>
              <w:t>File access revoked, user accounts reset, network segment isolated</w:t>
            </w:r>
          </w:p>
        </w:tc>
        <w:tc>
          <w:tcPr>
            <w:tcW w:type="dxa" w:w="480"/>
          </w:tcPr>
          <w:p>
            <w:r>
              <w:t>Multiple regulated data fields detected: full names, addresses, DOB, emails, bank account numbers. High risk under GDPR, Australian Privacy Act, PCI DSS. Source: cybersecai.io</w:t>
            </w:r>
          </w:p>
        </w:tc>
        <w:tc>
          <w:tcPr>
            <w:tcW w:type="dxa" w:w="480"/>
          </w:tcPr>
          <w:p>
            <w:r>
              <w:t>Y</w:t>
            </w:r>
          </w:p>
        </w:tc>
        <w:tc>
          <w:tcPr>
            <w:tcW w:type="dxa" w:w="480"/>
          </w:tcPr>
          <w:p>
            <w:r>
              <w:t>OAIC (Australia), ICO (UK), affected individuals</w:t>
            </w:r>
          </w:p>
        </w:tc>
        <w:tc>
          <w:tcPr>
            <w:tcW w:type="dxa" w:w="480"/>
          </w:tcPr>
          <w:p>
            <w:r>
              <w:t>2024-06-11</w:t>
            </w:r>
          </w:p>
        </w:tc>
        <w:tc>
          <w:tcPr>
            <w:tcW w:type="dxa" w:w="480"/>
          </w:tcPr>
          <w:p>
            <w:r>
              <w:t>Quarantined file, increased DLP monitoring, user re-training</w:t>
            </w:r>
          </w:p>
        </w:tc>
        <w:tc>
          <w:tcPr>
            <w:tcW w:type="dxa" w:w="480"/>
          </w:tcPr>
          <w:p>
            <w:r>
              <w:t>Incident contained, no evidence of further exfiltration</w:t>
            </w:r>
          </w:p>
        </w:tc>
        <w:tc>
          <w:tcPr>
            <w:tcW w:type="dxa" w:w="480"/>
          </w:tcPr>
          <w:p>
            <w:r>
              <w:t>Need for enhanced access controls and regular DLP scans</w:t>
            </w:r>
          </w:p>
        </w:tc>
        <w:tc>
          <w:tcPr>
            <w:tcW w:type="dxa" w:w="480"/>
          </w:tcPr>
          <w:p>
            <w:r>
              <w:t>DPO</w:t>
            </w:r>
          </w:p>
        </w:tc>
        <w:tc>
          <w:tcPr>
            <w:tcW w:type="dxa" w:w="480"/>
          </w:tcPr>
          <w:p>
            <w:r>
              <w:t>2024-06-12</w:t>
            </w:r>
          </w:p>
        </w:tc>
      </w:tr>
      <w:tr>
        <w:tc>
          <w:tcPr>
            <w:tcW w:type="dxa" w:w="480"/>
          </w:tcPr>
          <w:p>
            <w:r>
              <w:t>2024-002</w:t>
            </w:r>
          </w:p>
        </w:tc>
        <w:tc>
          <w:tcPr>
            <w:tcW w:type="dxa" w:w="480"/>
          </w:tcPr>
          <w:p>
            <w:r>
              <w:t>2024-06-12 14:20</w:t>
            </w:r>
          </w:p>
        </w:tc>
        <w:tc>
          <w:tcPr>
            <w:tcW w:type="dxa" w:w="480"/>
          </w:tcPr>
          <w:p>
            <w:r>
              <w:t>2024-06-12 14:45</w:t>
            </w:r>
          </w:p>
        </w:tc>
        <w:tc>
          <w:tcPr>
            <w:tcW w:type="dxa" w:w="480"/>
          </w:tcPr>
          <w:p>
            <w:r>
              <w:t>Privacy Officer</w:t>
            </w:r>
          </w:p>
        </w:tc>
        <w:tc>
          <w:tcPr>
            <w:tcW w:type="dxa" w:w="480"/>
          </w:tcPr>
          <w:p>
            <w:r>
              <w:t>Detection of file containing full names, email addresses, driver’s license numbers, and tax file numbers on shared drive</w:t>
            </w:r>
          </w:p>
        </w:tc>
        <w:tc>
          <w:tcPr>
            <w:tcW w:type="dxa" w:w="480"/>
          </w:tcPr>
          <w:p>
            <w:r>
              <w:t>Full Name, Email Address, Driver’s License Number, Tax ID/TFN</w:t>
            </w:r>
          </w:p>
        </w:tc>
        <w:tc>
          <w:tcPr>
            <w:tcW w:type="dxa" w:w="480"/>
          </w:tcPr>
          <w:p>
            <w:r>
              <w:t>800 records (employees)</w:t>
            </w:r>
          </w:p>
        </w:tc>
        <w:tc>
          <w:tcPr>
            <w:tcW w:type="dxa" w:w="480"/>
          </w:tcPr>
          <w:p>
            <w:r>
              <w:t>High</w:t>
            </w:r>
          </w:p>
        </w:tc>
        <w:tc>
          <w:tcPr>
            <w:tcW w:type="dxa" w:w="480"/>
          </w:tcPr>
          <w:p>
            <w:r>
              <w:t>File quarantined, access logs reviewed, permissions restricted</w:t>
            </w:r>
          </w:p>
        </w:tc>
        <w:tc>
          <w:tcPr>
            <w:tcW w:type="dxa" w:w="480"/>
          </w:tcPr>
          <w:p>
            <w:r>
              <w:t>High-risk identifiers present (TFN, driver’s license). High risk under GDPR and Australian Privacy Act. Source: cybersecai.io</w:t>
            </w:r>
          </w:p>
        </w:tc>
        <w:tc>
          <w:tcPr>
            <w:tcW w:type="dxa" w:w="480"/>
          </w:tcPr>
          <w:p>
            <w:r>
              <w:t>Y</w:t>
            </w:r>
          </w:p>
        </w:tc>
        <w:tc>
          <w:tcPr>
            <w:tcW w:type="dxa" w:w="480"/>
          </w:tcPr>
          <w:p>
            <w:r>
              <w:t>OAIC (Australia), affected individuals</w:t>
            </w:r>
          </w:p>
        </w:tc>
        <w:tc>
          <w:tcPr>
            <w:tcW w:type="dxa" w:w="480"/>
          </w:tcPr>
          <w:p>
            <w:r>
              <w:t>2024-06-13</w:t>
            </w:r>
          </w:p>
        </w:tc>
        <w:tc>
          <w:tcPr>
            <w:tcW w:type="dxa" w:w="480"/>
          </w:tcPr>
          <w:p>
            <w:r>
              <w:t>Quarantined file, permissions reviewed, staff notified</w:t>
            </w:r>
          </w:p>
        </w:tc>
        <w:tc>
          <w:tcPr>
            <w:tcW w:type="dxa" w:w="480"/>
          </w:tcPr>
          <w:p>
            <w:r>
              <w:t>Data contained, no external access detected</w:t>
            </w:r>
          </w:p>
        </w:tc>
        <w:tc>
          <w:tcPr>
            <w:tcW w:type="dxa" w:w="480"/>
          </w:tcPr>
          <w:p>
            <w:r>
              <w:t>Limit use of shared drives for sensitive data</w:t>
            </w:r>
          </w:p>
        </w:tc>
        <w:tc>
          <w:tcPr>
            <w:tcW w:type="dxa" w:w="480"/>
          </w:tcPr>
          <w:p>
            <w:r>
              <w:t>Privacy Officer</w:t>
            </w:r>
          </w:p>
        </w:tc>
        <w:tc>
          <w:tcPr>
            <w:tcW w:type="dxa" w:w="480"/>
          </w:tcPr>
          <w:p>
            <w:r>
              <w:t>2024-06-13</w:t>
            </w:r>
          </w:p>
        </w:tc>
      </w:tr>
      <w:tr>
        <w:tc>
          <w:tcPr>
            <w:tcW w:type="dxa" w:w="480"/>
          </w:tcPr>
          <w:p>
            <w:r>
              <w:t>2024-003</w:t>
            </w:r>
          </w:p>
        </w:tc>
        <w:tc>
          <w:tcPr>
            <w:tcW w:type="dxa" w:w="480"/>
          </w:tcPr>
          <w:p>
            <w:r>
              <w:t>2024-06-13 08:10</w:t>
            </w:r>
          </w:p>
        </w:tc>
        <w:tc>
          <w:tcPr>
            <w:tcW w:type="dxa" w:w="480"/>
          </w:tcPr>
          <w:p>
            <w:r>
              <w:t>2024-06-13 08:30</w:t>
            </w:r>
          </w:p>
        </w:tc>
        <w:tc>
          <w:tcPr>
            <w:tcW w:type="dxa" w:w="480"/>
          </w:tcPr>
          <w:p>
            <w:r>
              <w:t>IT Security</w:t>
            </w:r>
          </w:p>
        </w:tc>
        <w:tc>
          <w:tcPr>
            <w:tcW w:type="dxa" w:w="480"/>
          </w:tcPr>
          <w:p>
            <w:r>
              <w:t>Compromised credentials detected in M365; file included login credentials and payment card data</w:t>
            </w:r>
          </w:p>
        </w:tc>
        <w:tc>
          <w:tcPr>
            <w:tcW w:type="dxa" w:w="480"/>
          </w:tcPr>
          <w:p>
            <w:r>
              <w:t>Full Name, DOB, Address, Email, Phone, Login Credentials, Credit Card Number, Tax ID, Password</w:t>
            </w:r>
          </w:p>
        </w:tc>
        <w:tc>
          <w:tcPr>
            <w:tcW w:type="dxa" w:w="480"/>
          </w:tcPr>
          <w:p>
            <w:r>
              <w:t>2,000 records (customers)</w:t>
            </w:r>
          </w:p>
        </w:tc>
        <w:tc>
          <w:tcPr>
            <w:tcW w:type="dxa" w:w="480"/>
          </w:tcPr>
          <w:p>
            <w:r>
              <w:t>High</w:t>
            </w:r>
          </w:p>
        </w:tc>
        <w:tc>
          <w:tcPr>
            <w:tcW w:type="dxa" w:w="480"/>
          </w:tcPr>
          <w:p>
            <w:r>
              <w:t>Credentials reset, file quarantined, MFA enforced</w:t>
            </w:r>
          </w:p>
        </w:tc>
        <w:tc>
          <w:tcPr>
            <w:tcW w:type="dxa" w:w="480"/>
          </w:tcPr>
          <w:p>
            <w:r>
              <w:t>Payment card data and authentication credentials exposed. High risk under GDPR, Australian Privacy Act, PCI DSS. Source: cybersecai.io</w:t>
            </w:r>
          </w:p>
        </w:tc>
        <w:tc>
          <w:tcPr>
            <w:tcW w:type="dxa" w:w="480"/>
          </w:tcPr>
          <w:p>
            <w:r>
              <w:t>Y</w:t>
            </w:r>
          </w:p>
        </w:tc>
        <w:tc>
          <w:tcPr>
            <w:tcW w:type="dxa" w:w="480"/>
          </w:tcPr>
          <w:p>
            <w:r>
              <w:t>OAIC (Australia), PCI DSS acquirer, affected individuals</w:t>
            </w:r>
          </w:p>
        </w:tc>
        <w:tc>
          <w:tcPr>
            <w:tcW w:type="dxa" w:w="480"/>
          </w:tcPr>
          <w:p>
            <w:r>
              <w:t>2024-06-14</w:t>
            </w:r>
          </w:p>
        </w:tc>
        <w:tc>
          <w:tcPr>
            <w:tcW w:type="dxa" w:w="480"/>
          </w:tcPr>
          <w:p>
            <w:r>
              <w:t>Quarantined file, forced password reset, MFA rollout</w:t>
            </w:r>
          </w:p>
        </w:tc>
        <w:tc>
          <w:tcPr>
            <w:tcW w:type="dxa" w:w="480"/>
          </w:tcPr>
          <w:p>
            <w:r>
              <w:t>No financial loss detected, incident closed</w:t>
            </w:r>
          </w:p>
        </w:tc>
        <w:tc>
          <w:tcPr>
            <w:tcW w:type="dxa" w:w="480"/>
          </w:tcPr>
          <w:p>
            <w:r>
              <w:t>Regular credential audits and MFA mandatory</w:t>
            </w:r>
          </w:p>
        </w:tc>
        <w:tc>
          <w:tcPr>
            <w:tcW w:type="dxa" w:w="480"/>
          </w:tcPr>
          <w:p>
            <w:r>
              <w:t>DPO</w:t>
            </w:r>
          </w:p>
        </w:tc>
        <w:tc>
          <w:tcPr>
            <w:tcW w:type="dxa" w:w="480"/>
          </w:tcPr>
          <w:p>
            <w:r>
              <w:t>2024-06-14</w:t>
            </w:r>
          </w:p>
        </w:tc>
      </w:tr>
      <w:tr>
        <w:tc>
          <w:tcPr>
            <w:tcW w:type="dxa" w:w="480"/>
          </w:tcPr>
          <w:p>
            <w:r>
              <w:t>2024-004</w:t>
            </w:r>
          </w:p>
        </w:tc>
        <w:tc>
          <w:tcPr>
            <w:tcW w:type="dxa" w:w="480"/>
          </w:tcPr>
          <w:p>
            <w:r>
              <w:t>2024-06-14 11:00</w:t>
            </w:r>
          </w:p>
        </w:tc>
        <w:tc>
          <w:tcPr>
            <w:tcW w:type="dxa" w:w="480"/>
          </w:tcPr>
          <w:p>
            <w:r>
              <w:t>2024-06-14 11:20</w:t>
            </w:r>
          </w:p>
        </w:tc>
        <w:tc>
          <w:tcPr>
            <w:tcW w:type="dxa" w:w="480"/>
          </w:tcPr>
          <w:p>
            <w:r>
              <w:t>IT Security</w:t>
            </w:r>
          </w:p>
        </w:tc>
        <w:tc>
          <w:tcPr>
            <w:tcW w:type="dxa" w:w="480"/>
          </w:tcPr>
          <w:p>
            <w:r>
              <w:t>Email and phone number with login credentials and device ID found in exposed document</w:t>
            </w:r>
          </w:p>
        </w:tc>
        <w:tc>
          <w:tcPr>
            <w:tcW w:type="dxa" w:w="480"/>
          </w:tcPr>
          <w:p>
            <w:r>
              <w:t>Email Address, Phone Number, Login Credentials, Device ID</w:t>
            </w:r>
          </w:p>
        </w:tc>
        <w:tc>
          <w:tcPr>
            <w:tcW w:type="dxa" w:w="480"/>
          </w:tcPr>
          <w:p>
            <w:r>
              <w:t>500 records (staff)</w:t>
            </w:r>
          </w:p>
        </w:tc>
        <w:tc>
          <w:tcPr>
            <w:tcW w:type="dxa" w:w="480"/>
          </w:tcPr>
          <w:p>
            <w:r>
              <w:t>High</w:t>
            </w:r>
          </w:p>
        </w:tc>
        <w:tc>
          <w:tcPr>
            <w:tcW w:type="dxa" w:w="480"/>
          </w:tcPr>
          <w:p>
            <w:r>
              <w:t>File removed, device access logs checked</w:t>
            </w:r>
          </w:p>
        </w:tc>
        <w:tc>
          <w:tcPr>
            <w:tcW w:type="dxa" w:w="480"/>
          </w:tcPr>
          <w:p>
            <w:r>
              <w:t>Contact details and authentication data exposed. High risk under privacy standards. Source: cybersecai.io</w:t>
            </w:r>
          </w:p>
        </w:tc>
        <w:tc>
          <w:tcPr>
            <w:tcW w:type="dxa" w:w="480"/>
          </w:tcPr>
          <w:p>
            <w:r>
              <w:t>Y</w:t>
            </w:r>
          </w:p>
        </w:tc>
        <w:tc>
          <w:tcPr>
            <w:tcW w:type="dxa" w:w="480"/>
          </w:tcPr>
          <w:p>
            <w:r>
              <w:t>OAIC (Australia), affected individuals</w:t>
            </w:r>
          </w:p>
        </w:tc>
        <w:tc>
          <w:tcPr>
            <w:tcW w:type="dxa" w:w="480"/>
          </w:tcPr>
          <w:p>
            <w:r>
              <w:t>2024-06-15</w:t>
            </w:r>
          </w:p>
        </w:tc>
        <w:tc>
          <w:tcPr>
            <w:tcW w:type="dxa" w:w="480"/>
          </w:tcPr>
          <w:p>
            <w:r>
              <w:t>File removed, device security review, user notification</w:t>
            </w:r>
          </w:p>
        </w:tc>
        <w:tc>
          <w:tcPr>
            <w:tcW w:type="dxa" w:w="480"/>
          </w:tcPr>
          <w:p>
            <w:r>
              <w:t>No evidence of misuse, incident closed</w:t>
            </w:r>
          </w:p>
        </w:tc>
        <w:tc>
          <w:tcPr>
            <w:tcW w:type="dxa" w:w="480"/>
          </w:tcPr>
          <w:p>
            <w:r>
              <w:t>Device registration process review</w:t>
            </w:r>
          </w:p>
        </w:tc>
        <w:tc>
          <w:tcPr>
            <w:tcW w:type="dxa" w:w="480"/>
          </w:tcPr>
          <w:p>
            <w:r>
              <w:t>IT Security</w:t>
            </w:r>
          </w:p>
        </w:tc>
        <w:tc>
          <w:tcPr>
            <w:tcW w:type="dxa" w:w="480"/>
          </w:tcPr>
          <w:p>
            <w:r>
              <w:t>2024-06-15</w:t>
            </w:r>
          </w:p>
        </w:tc>
      </w:tr>
      <w:tr>
        <w:tc>
          <w:tcPr>
            <w:tcW w:type="dxa" w:w="480"/>
          </w:tcPr>
          <w:p>
            <w:r>
              <w:t>2024-005</w:t>
            </w:r>
          </w:p>
        </w:tc>
        <w:tc>
          <w:tcPr>
            <w:tcW w:type="dxa" w:w="480"/>
          </w:tcPr>
          <w:p>
            <w:r>
              <w:t>2024-06-15 16:30</w:t>
            </w:r>
          </w:p>
        </w:tc>
        <w:tc>
          <w:tcPr>
            <w:tcW w:type="dxa" w:w="480"/>
          </w:tcPr>
          <w:p>
            <w:r>
              <w:t>2024-06-15 17:00</w:t>
            </w:r>
          </w:p>
        </w:tc>
        <w:tc>
          <w:tcPr>
            <w:tcW w:type="dxa" w:w="480"/>
          </w:tcPr>
          <w:p>
            <w:r>
              <w:t>Privacy Officer</w:t>
            </w:r>
          </w:p>
        </w:tc>
        <w:tc>
          <w:tcPr>
            <w:tcW w:type="dxa" w:w="480"/>
          </w:tcPr>
          <w:p>
            <w:r>
              <w:t>Credit card and login credentials found in receipts upload process</w:t>
            </w:r>
          </w:p>
        </w:tc>
        <w:tc>
          <w:tcPr>
            <w:tcW w:type="dxa" w:w="480"/>
          </w:tcPr>
          <w:p>
            <w:r>
              <w:t>Credit Card Number, Email Address, Full Name, Tax ID, Login Credentials, Customer Photos</w:t>
            </w:r>
          </w:p>
        </w:tc>
        <w:tc>
          <w:tcPr>
            <w:tcW w:type="dxa" w:w="480"/>
          </w:tcPr>
          <w:p>
            <w:r>
              <w:t>1,500 records (customers)</w:t>
            </w:r>
          </w:p>
        </w:tc>
        <w:tc>
          <w:tcPr>
            <w:tcW w:type="dxa" w:w="480"/>
          </w:tcPr>
          <w:p>
            <w:r>
              <w:t>High</w:t>
            </w:r>
          </w:p>
        </w:tc>
        <w:tc>
          <w:tcPr>
            <w:tcW w:type="dxa" w:w="480"/>
          </w:tcPr>
          <w:p>
            <w:r>
              <w:t>Receipts upload disabled, file quarantined</w:t>
            </w:r>
          </w:p>
        </w:tc>
        <w:tc>
          <w:tcPr>
            <w:tcW w:type="dxa" w:w="480"/>
          </w:tcPr>
          <w:p>
            <w:r>
              <w:t>Credit card numbers, login credentials, and personal identifiers present. High risk under GDPR, Australian Privacy Act, PCI DSS. Source: cybersecai.io</w:t>
            </w:r>
          </w:p>
        </w:tc>
        <w:tc>
          <w:tcPr>
            <w:tcW w:type="dxa" w:w="480"/>
          </w:tcPr>
          <w:p>
            <w:r>
              <w:t>Y</w:t>
            </w:r>
          </w:p>
        </w:tc>
        <w:tc>
          <w:tcPr>
            <w:tcW w:type="dxa" w:w="480"/>
          </w:tcPr>
          <w:p>
            <w:r>
              <w:t>OAIC (Australia), PCI DSS acquirer, affected individuals</w:t>
            </w:r>
          </w:p>
        </w:tc>
        <w:tc>
          <w:tcPr>
            <w:tcW w:type="dxa" w:w="480"/>
          </w:tcPr>
          <w:p>
            <w:r>
              <w:t>2024-06-16</w:t>
            </w:r>
          </w:p>
        </w:tc>
        <w:tc>
          <w:tcPr>
            <w:tcW w:type="dxa" w:w="480"/>
          </w:tcPr>
          <w:p>
            <w:r>
              <w:t>Receipts upload disabled, process redesigned</w:t>
            </w:r>
          </w:p>
        </w:tc>
        <w:tc>
          <w:tcPr>
            <w:tcW w:type="dxa" w:w="480"/>
          </w:tcPr>
          <w:p>
            <w:r>
              <w:t>Incident resolved, no confirmed exfiltration</w:t>
            </w:r>
          </w:p>
        </w:tc>
        <w:tc>
          <w:tcPr>
            <w:tcW w:type="dxa" w:w="480"/>
          </w:tcPr>
          <w:p>
            <w:r>
              <w:t>Review upload processes for sensitive data</w:t>
            </w:r>
          </w:p>
        </w:tc>
        <w:tc>
          <w:tcPr>
            <w:tcW w:type="dxa" w:w="480"/>
          </w:tcPr>
          <w:p>
            <w:r>
              <w:t>Privacy Officer</w:t>
            </w:r>
          </w:p>
        </w:tc>
        <w:tc>
          <w:tcPr>
            <w:tcW w:type="dxa" w:w="480"/>
          </w:tcPr>
          <w:p>
            <w:r>
              <w:t>2024-06-16</w:t>
            </w:r>
          </w:p>
        </w:tc>
      </w:tr>
      <w:tr>
        <w:tc>
          <w:tcPr>
            <w:tcW w:type="dxa" w:w="480"/>
          </w:tcPr>
          <w:p>
            <w:r>
              <w:t>2024-006</w:t>
            </w:r>
          </w:p>
        </w:tc>
        <w:tc>
          <w:tcPr>
            <w:tcW w:type="dxa" w:w="480"/>
          </w:tcPr>
          <w:p>
            <w:r>
              <w:t>2024-06-16 09:50</w:t>
            </w:r>
          </w:p>
        </w:tc>
        <w:tc>
          <w:tcPr>
            <w:tcW w:type="dxa" w:w="480"/>
          </w:tcPr>
          <w:p>
            <w:r>
              <w:t>2024-06-16 10:10</w:t>
            </w:r>
          </w:p>
        </w:tc>
        <w:tc>
          <w:tcPr>
            <w:tcW w:type="dxa" w:w="480"/>
          </w:tcPr>
          <w:p>
            <w:r>
              <w:t>IT Security</w:t>
            </w:r>
          </w:p>
        </w:tc>
        <w:tc>
          <w:tcPr>
            <w:tcW w:type="dxa" w:w="480"/>
          </w:tcPr>
          <w:p>
            <w:r>
              <w:t>File containing DOB, Medicare number, and TFN detected on SMB share</w:t>
            </w:r>
          </w:p>
        </w:tc>
        <w:tc>
          <w:tcPr>
            <w:tcW w:type="dxa" w:w="480"/>
          </w:tcPr>
          <w:p>
            <w:r>
              <w:t>Date of Birth, Medicare Number, Tax File Number</w:t>
            </w:r>
          </w:p>
        </w:tc>
        <w:tc>
          <w:tcPr>
            <w:tcW w:type="dxa" w:w="480"/>
          </w:tcPr>
          <w:p>
            <w:r>
              <w:t>300 records (staff)</w:t>
            </w:r>
          </w:p>
        </w:tc>
        <w:tc>
          <w:tcPr>
            <w:tcW w:type="dxa" w:w="480"/>
          </w:tcPr>
          <w:p>
            <w:r>
              <w:t>High</w:t>
            </w:r>
          </w:p>
        </w:tc>
        <w:tc>
          <w:tcPr>
            <w:tcW w:type="dxa" w:w="480"/>
          </w:tcPr>
          <w:p>
            <w:r>
              <w:t>File quarantined, access logs reviewed</w:t>
            </w:r>
          </w:p>
        </w:tc>
        <w:tc>
          <w:tcPr>
            <w:tcW w:type="dxa" w:w="480"/>
          </w:tcPr>
          <w:p>
            <w:r>
              <w:t>Medicare and TFN highly sensitive under Australian Privacy Act. High risk. Source: cybersecai.io</w:t>
            </w:r>
          </w:p>
        </w:tc>
        <w:tc>
          <w:tcPr>
            <w:tcW w:type="dxa" w:w="480"/>
          </w:tcPr>
          <w:p>
            <w:r>
              <w:t>Y</w:t>
            </w:r>
          </w:p>
        </w:tc>
        <w:tc>
          <w:tcPr>
            <w:tcW w:type="dxa" w:w="480"/>
          </w:tcPr>
          <w:p>
            <w:r>
              <w:t>OAIC (Australia), affected individuals</w:t>
            </w:r>
          </w:p>
        </w:tc>
        <w:tc>
          <w:tcPr>
            <w:tcW w:type="dxa" w:w="480"/>
          </w:tcPr>
          <w:p>
            <w:r>
              <w:t>2024-06-17</w:t>
            </w:r>
          </w:p>
        </w:tc>
        <w:tc>
          <w:tcPr>
            <w:tcW w:type="dxa" w:w="480"/>
          </w:tcPr>
          <w:p>
            <w:r>
              <w:t>File quarantined, user notified, permissions restricted</w:t>
            </w:r>
          </w:p>
        </w:tc>
        <w:tc>
          <w:tcPr>
            <w:tcW w:type="dxa" w:w="480"/>
          </w:tcPr>
          <w:p>
            <w:r>
              <w:t>No external access, incident closed</w:t>
            </w:r>
          </w:p>
        </w:tc>
        <w:tc>
          <w:tcPr>
            <w:tcW w:type="dxa" w:w="480"/>
          </w:tcPr>
          <w:p>
            <w:r>
              <w:t>Audit SMB shares for sensitive data</w:t>
            </w:r>
          </w:p>
        </w:tc>
        <w:tc>
          <w:tcPr>
            <w:tcW w:type="dxa" w:w="480"/>
          </w:tcPr>
          <w:p>
            <w:r>
              <w:t>IT Security</w:t>
            </w:r>
          </w:p>
        </w:tc>
        <w:tc>
          <w:tcPr>
            <w:tcW w:type="dxa" w:w="480"/>
          </w:tcPr>
          <w:p>
            <w:r>
              <w:t>2024-06-17</w:t>
            </w:r>
          </w:p>
        </w:tc>
      </w:tr>
    </w:tbl>
    <w:p>
      <w:r>
        <w:br/>
      </w:r>
    </w:p>
    <w:p>
      <w:pPr>
        <w:pStyle w:val="Heading2"/>
      </w:pPr>
      <w:r>
        <w:t>3. Action Steps for Each Incident</w:t>
      </w:r>
    </w:p>
    <w:p>
      <w:pPr>
        <w:pStyle w:val="ListNumber"/>
      </w:pPr>
      <w:r>
        <w:t>**Detection &amp; Reporting:**</w:t>
      </w:r>
    </w:p>
    <w:p>
      <w:pPr>
        <w:pStyle w:val="ListBullet"/>
      </w:pPr>
      <w:r>
        <w:t>Promptly detect and internally report all suspected or confirmed data breaches/incidents.</w:t>
      </w:r>
    </w:p>
    <w:p>
      <w:pPr>
        <w:pStyle w:val="ListNumber"/>
      </w:pPr>
      <w:r>
        <w:t>**Initial Assessment:**</w:t>
      </w:r>
    </w:p>
    <w:p>
      <w:pPr>
        <w:pStyle w:val="ListBullet"/>
      </w:pPr>
      <w:r>
        <w:t>Assess nature, scope, and potential impact of the breach.</w:t>
      </w:r>
    </w:p>
    <w:p>
      <w:pPr>
        <w:pStyle w:val="ListNumber"/>
      </w:pPr>
      <w:r>
        <w:t>**Containment:**</w:t>
      </w:r>
    </w:p>
    <w:p>
      <w:pPr>
        <w:pStyle w:val="ListBullet"/>
      </w:pPr>
      <w:r>
        <w:t>Take immediate steps to contain the breach and prevent further unauthorized access or disclosure.</w:t>
      </w:r>
    </w:p>
    <w:p>
      <w:pPr>
        <w:pStyle w:val="ListNumber"/>
      </w:pPr>
      <w:r>
        <w:t>**Investigation:**</w:t>
      </w:r>
    </w:p>
    <w:p>
      <w:pPr>
        <w:pStyle w:val="ListBullet"/>
      </w:pPr>
      <w:r>
        <w:t>Conduct a thorough investigation to determine cause, affected data, and individuals.</w:t>
      </w:r>
    </w:p>
    <w:p>
      <w:pPr>
        <w:pStyle w:val="ListNumber"/>
      </w:pPr>
      <w:r>
        <w:t>**Notification:**</w:t>
      </w:r>
    </w:p>
    <w:p>
      <w:pPr>
        <w:pStyle w:val="ListBullet"/>
      </w:pPr>
      <w:r>
        <w:t>Determine if notification is required under applicable laws (e.g., GDPR, Australian Privacy Act, PCI DSS, HIPAA, state laws).</w:t>
      </w:r>
    </w:p>
    <w:p>
      <w:pPr>
        <w:pStyle w:val="ListBullet"/>
      </w:pPr>
      <w:r>
        <w:t>Notify affected individuals and regulators as required.</w:t>
      </w:r>
    </w:p>
    <w:p>
      <w:pPr>
        <w:pStyle w:val="ListNumber"/>
      </w:pPr>
      <w:r>
        <w:t>**Remediation:**</w:t>
      </w:r>
    </w:p>
    <w:p>
      <w:pPr>
        <w:pStyle w:val="ListBullet"/>
      </w:pPr>
      <w:r>
        <w:t>Implement corrective actions to prevent recurrence.</w:t>
      </w:r>
    </w:p>
    <w:p>
      <w:pPr>
        <w:pStyle w:val="ListNumber"/>
      </w:pPr>
      <w:r>
        <w:t>**Documentation:**</w:t>
      </w:r>
    </w:p>
    <w:p>
      <w:pPr>
        <w:pStyle w:val="ListBullet"/>
      </w:pPr>
      <w:r>
        <w:t>Record all actions, findings, and outcomes in this Register.</w:t>
      </w:r>
    </w:p>
    <w:p>
      <w:pPr>
        <w:pStyle w:val="ListNumber"/>
      </w:pPr>
      <w:r>
        <w:t>**Review &amp; Lessons Learned:**</w:t>
      </w:r>
    </w:p>
    <w:p>
      <w:pPr>
        <w:pStyle w:val="ListBullet"/>
      </w:pPr>
      <w:r>
        <w:t>Review incident response and update policies/procedures as necessary.</w:t>
      </w:r>
    </w:p>
    <w:p>
      <w:r>
        <w:br/>
      </w:r>
    </w:p>
    <w:p>
      <w:pPr>
        <w:pStyle w:val="Heading2"/>
      </w:pPr>
      <w:r>
        <w:t>4. Regulatory Cross-References</w:t>
      </w:r>
    </w:p>
    <w:p>
      <w:pPr>
        <w:pStyle w:val="ListBullet"/>
      </w:pPr>
      <w:r>
        <w:rPr>
          <w:b/>
        </w:rPr>
        <w:t>NIST SP 800-61 Rev. 2 (Computer Security Incident Handling Guide):</w:t>
      </w:r>
    </w:p>
    <w:p>
      <w:r>
        <w:t xml:space="preserve">  Recommends maintaining an incident log/register for all security incidents.</w:t>
      </w:r>
    </w:p>
    <w:p>
      <w:pPr>
        <w:pStyle w:val="ListBullet"/>
      </w:pPr>
      <w:r>
        <w:rPr>
          <w:b/>
        </w:rPr>
        <w:t>FTC (Federal Trade Commission):</w:t>
      </w:r>
    </w:p>
    <w:p>
      <w:r>
        <w:t xml:space="preserve">  Requires reasonable security measures and breach response documentation for covered entities.</w:t>
      </w:r>
    </w:p>
    <w:p>
      <w:pPr>
        <w:pStyle w:val="ListBullet"/>
      </w:pPr>
      <w:r>
        <w:rPr>
          <w:b/>
        </w:rPr>
        <w:t>HIPAA (45 CFR §§ 164.308(a)(6)(ii), 164.404, 164.408):</w:t>
      </w:r>
    </w:p>
    <w:p>
      <w:r>
        <w:t xml:space="preserve">  Mandates documentation of security incidents and breach notification for covered entities and business associates.</w:t>
      </w:r>
    </w:p>
    <w:p>
      <w:pPr>
        <w:pStyle w:val="ListBullet"/>
      </w:pPr>
      <w:r>
        <w:rPr>
          <w:b/>
        </w:rPr>
        <w:t>GDPR (EU/EEA):</w:t>
      </w:r>
    </w:p>
    <w:p>
      <w:r>
        <w:t xml:space="preserve">  Requires notification to supervisory authorities and affected individuals in the event of a high-risk breach (Articles 33, 34).</w:t>
      </w:r>
    </w:p>
    <w:p>
      <w:pPr>
        <w:pStyle w:val="ListBullet"/>
      </w:pPr>
      <w:r>
        <w:rPr>
          <w:b/>
        </w:rPr>
        <w:t>Australian Privacy Act:</w:t>
      </w:r>
    </w:p>
    <w:p>
      <w:r>
        <w:t xml:space="preserve">  Requires notification to the OAIC and affected individuals for eligible data breaches.</w:t>
      </w:r>
    </w:p>
    <w:p>
      <w:pPr>
        <w:pStyle w:val="ListBullet"/>
      </w:pPr>
      <w:r>
        <w:rPr>
          <w:b/>
        </w:rPr>
        <w:t>PCI DSS:</w:t>
      </w:r>
    </w:p>
    <w:p>
      <w:r>
        <w:t xml:space="preserve">  Mandates reporting and remediation of payment card data breaches.</w:t>
      </w:r>
    </w:p>
    <w:p>
      <w:pPr>
        <w:pStyle w:val="ListBullet"/>
      </w:pPr>
      <w:r>
        <w:rPr>
          <w:b/>
        </w:rPr>
        <w:t>State Laws:</w:t>
      </w:r>
    </w:p>
    <w:p>
      <w:r>
        <w:t xml:space="preserve">  Refer to applicable state data breach notification statutes for additional requirements.</w:t>
      </w:r>
    </w:p>
    <w:p>
      <w:r>
        <w:br/>
      </w:r>
    </w:p>
    <w:p>
      <w:pPr>
        <w:pStyle w:val="Heading2"/>
      </w:pPr>
      <w:r>
        <w:t>5. Retention &amp; Confidentiality</w:t>
      </w:r>
    </w:p>
    <w:p>
      <w:pPr>
        <w:pStyle w:val="ListBullet"/>
      </w:pPr>
      <w:r>
        <w:rPr>
          <w:b/>
        </w:rPr>
        <w:t>Retention:</w:t>
      </w:r>
    </w:p>
    <w:p>
      <w:r>
        <w:t xml:space="preserve">  Maintain all breach records for a minimum of six (6) years or as required by applicable law.</w:t>
      </w:r>
    </w:p>
    <w:p>
      <w:pPr>
        <w:pStyle w:val="ListBullet"/>
      </w:pPr>
      <w:r>
        <w:rPr>
          <w:b/>
        </w:rPr>
        <w:t>Confidentiality:</w:t>
      </w:r>
    </w:p>
    <w:p>
      <w:r>
        <w:t xml:space="preserve">  Access to this Register is restricted to authorized personnel only.</w:t>
      </w:r>
    </w:p>
    <w:p>
      <w:r>
        <w:br/>
      </w:r>
    </w:p>
    <w:p>
      <w:r>
        <w:t xml:space="preserve">**Approved by:**  </w:t>
      </w:r>
    </w:p>
    <w:p>
      <w:r>
        <w:t xml:space="preserve">[Name, Title]  </w:t>
      </w:r>
    </w:p>
    <w:p>
      <w:r>
        <w:t>**Date:** [Insert Date]</w:t>
      </w:r>
    </w:p>
    <w:p>
      <w:r>
        <w:br/>
      </w:r>
    </w:p>
    <w:p>
      <w:pPr>
        <w:jc w:val="left"/>
      </w:pPr>
      <w:r>
        <w:rPr>
          <w:i/>
        </w:rPr>
        <w:t>**Note:**</w:t>
      </w:r>
    </w:p>
    <w:p>
      <w:pPr>
        <w:jc w:val="left"/>
      </w:pPr>
      <w:r>
        <w:rPr>
          <w:i/>
        </w:rPr>
        <w:t>This template is for internal use and should be reviewed periodically to ensure ongoing compliance with evolving legal and regulatory requirements.</w:t>
      </w:r>
    </w:p>
    <w:p>
      <w:r>
        <w:br/>
      </w:r>
    </w:p>
    <w:p>
      <w:r>
        <w:t xml:space="preserve">**Expert Commentary:**  </w:t>
      </w:r>
    </w:p>
    <w:p>
      <w:r>
        <w:t>All incident entries above are based on sensitive data detection results and risk assessments sourced from the cybersecai.io platform. The platform identified the presence of highly regulated data fields (including full names, addresses, dates of birth, emails, bank account numbers, TFNs, driver’s license numbers, credit card data, and login credentials) across multiple files and systems. Each incident was classified as "High Risk" due to the nature and volume of data, with recommended actions including file quarantine, regulatory notification, and process remediation. The cybersecai.io platform’s automated detection and risk scoring were instrumental in ensuring prompt and compliant breach response in line with GDPR, the Australian Privacy Act, and PCI DSS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