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Oakville HealthCare Provider</w:t>
      </w:r>
    </w:p>
    <w:p>
      <w:pPr>
        <w:pStyle w:val="Heading1"/>
      </w:pPr>
      <w:r>
        <w:t>Data Breach Response Plan</w:t>
      </w:r>
    </w:p>
    <w:p>
      <w:r>
        <w:t xml:space="preserve">**Effective Date:** [Insert Date]  </w:t>
      </w:r>
    </w:p>
    <w:p>
      <w:r>
        <w:t xml:space="preserve">**Approved By:** [Insert Approving Authority]  </w:t>
      </w:r>
    </w:p>
    <w:p>
      <w:r>
        <w:t xml:space="preserve">**Last Reviewed:** [Insert Date]  </w:t>
      </w:r>
    </w:p>
    <w:p>
      <w:r>
        <w:br/>
      </w:r>
    </w:p>
    <w:p>
      <w:pPr>
        <w:pStyle w:val="Heading2"/>
      </w:pPr>
      <w:r>
        <w:t>1. Purpose</w:t>
      </w:r>
    </w:p>
    <w:p>
      <w:r>
        <w:t>This Data Breach Response Plan ("Plan") establishes mandatory procedures for the detection, reporting, containment, investigation, and mitigation of data breaches involving personal information, in compliance with the Personal Information Protection and Electronic Documents Act ("PIPEDA"), s.10.1(1). The Plan ensures Oakville HealthCare Provider ("OHP") meets its legal obligations and protects the privacy of individuals whose personal information is entrusted to OHP.</w:t>
      </w:r>
    </w:p>
    <w:p>
      <w:r>
        <w:t xml:space="preserve">**Expert Note:**  </w:t>
      </w:r>
    </w:p>
    <w:p>
      <w:r>
        <w:t>Based on recent data risk assessments from the cybersecai.io platform, OHP processes and stores highly sensitive personal data, including but not limited to: full names, dates of birth, addresses, email addresses, phone numbers, government-issued identifiers (driver’s license, tax ID/TFN), financial account information, and payment card data. These categories are regulated under multiple privacy regimes (GDPR, Australian Privacy Act, CCPA/CPRA, PCI DSS) and require heightened security and breach response diligence.</w:t>
      </w:r>
    </w:p>
    <w:p>
      <w:r>
        <w:br/>
      </w:r>
    </w:p>
    <w:p>
      <w:pPr>
        <w:pStyle w:val="Heading2"/>
      </w:pPr>
      <w:r>
        <w:t>2. Scope</w:t>
      </w:r>
    </w:p>
    <w:p>
      <w:r>
        <w:t>This Plan applies to all OHP employees, contractors, volunteers, and third-party service providers who handle personal information in the course of their duties.</w:t>
      </w:r>
    </w:p>
    <w:p>
      <w:r>
        <w:br/>
      </w:r>
    </w:p>
    <w:p>
      <w:pPr>
        <w:pStyle w:val="Heading2"/>
      </w:pPr>
      <w:r>
        <w:t>3. Definitions</w:t>
      </w:r>
    </w:p>
    <w:p>
      <w:pPr>
        <w:pStyle w:val="ListBullet"/>
      </w:pPr>
      <w:r>
        <w:t>**Data Breach:** Loss of, unauthorized access to, or unauthorized disclosure of personal information resulting from a breach of OHP’s security safeguards or from a failure to establish those safeguards.</w:t>
      </w:r>
    </w:p>
    <w:p>
      <w:pPr>
        <w:pStyle w:val="ListBullet"/>
      </w:pPr>
      <w:r>
        <w:t>**Personal Information:** Information about an identifiable individual as defined under PIPEDA, including sensitive fields such as full name, date of birth, address, email, phone number, driver’s license number, tax ID/TFN, bank account, and credit card numbers (see cybersecai.io risk analysis).</w:t>
      </w:r>
    </w:p>
    <w:p>
      <w:pPr>
        <w:pStyle w:val="ListBullet"/>
      </w:pPr>
      <w:r>
        <w:t>**Significant Harm:** Includes bodily harm, humiliation, damage to reputation or relationships, loss of employment, business or professional opportunities, financial loss, identity theft, negative effects on credit record, and damage to or loss of property (PIPEDA, s.10.1(7)).</w:t>
      </w:r>
    </w:p>
    <w:p>
      <w:r>
        <w:br/>
      </w:r>
    </w:p>
    <w:p>
      <w:pPr>
        <w:pStyle w:val="Heading2"/>
      </w:pPr>
      <w:r>
        <w:t>4. Roles and Responsibilities</w:t>
      </w:r>
    </w:p>
    <w:p>
      <w:pPr>
        <w:pStyle w:val="Heading3"/>
      </w:pPr>
      <w:r>
        <w:t>4.1 Privacy Officer</w:t>
      </w:r>
    </w:p>
    <w:p>
      <w:pPr>
        <w:pStyle w:val="ListBullet"/>
      </w:pPr>
      <w:r>
        <w:t>Overall responsibility for breach management and regulatory compliance.</w:t>
      </w:r>
    </w:p>
    <w:p>
      <w:pPr>
        <w:pStyle w:val="ListBullet"/>
      </w:pPr>
      <w:r>
        <w:t>Liaison with regulatory authorities and affected individuals.</w:t>
      </w:r>
    </w:p>
    <w:p>
      <w:pPr>
        <w:pStyle w:val="Heading3"/>
      </w:pPr>
      <w:r>
        <w:t>4.2 IT Security Lead</w:t>
      </w:r>
    </w:p>
    <w:p>
      <w:pPr>
        <w:pStyle w:val="ListBullet"/>
      </w:pPr>
      <w:r>
        <w:t>Technical assessment, containment, and remediation of breaches.</w:t>
      </w:r>
    </w:p>
    <w:p>
      <w:pPr>
        <w:pStyle w:val="Heading3"/>
      </w:pPr>
      <w:r>
        <w:t>4.3 All Staff</w:t>
      </w:r>
    </w:p>
    <w:p>
      <w:pPr>
        <w:pStyle w:val="ListBullet"/>
      </w:pPr>
      <w:r>
        <w:t>Immediate reporting of suspected or actual breaches to the Privacy Officer.</w:t>
      </w:r>
    </w:p>
    <w:p>
      <w:r>
        <w:br/>
      </w:r>
    </w:p>
    <w:p>
      <w:pPr>
        <w:pStyle w:val="Heading2"/>
      </w:pPr>
      <w:r>
        <w:t>5. Breach Response Procedures</w:t>
      </w:r>
    </w:p>
    <w:p>
      <w:pPr>
        <w:pStyle w:val="Heading3"/>
      </w:pPr>
      <w:r>
        <w:t>5.1 Detection and Initial Reporting</w:t>
      </w:r>
    </w:p>
    <w:p>
      <w:pPr>
        <w:pStyle w:val="ListBullet"/>
      </w:pPr>
      <w:r>
        <w:t>**Step 1:** Any staff member who suspects or becomes aware of a data breach must immediately notify the Privacy Officer via [designated reporting channel].</w:t>
      </w:r>
    </w:p>
    <w:p>
      <w:pPr>
        <w:pStyle w:val="ListBullet"/>
      </w:pPr>
      <w:r>
        <w:t>**Step 2:** Complete the Data Breach Incident Report Form (Appendix A) within 1 hour of detection.</w:t>
      </w:r>
    </w:p>
    <w:p>
      <w:pPr>
        <w:pStyle w:val="Heading3"/>
      </w:pPr>
      <w:r>
        <w:t>5.2 Containment</w:t>
      </w:r>
    </w:p>
    <w:p>
      <w:pPr>
        <w:pStyle w:val="ListBullet"/>
      </w:pPr>
      <w:r>
        <w:t>**Step 3:** IT Security Lead to promptly contain the breach (e.g., isolate affected systems, disable compromised accounts, retrieve disclosed information, suspend relevant processes).</w:t>
      </w:r>
    </w:p>
    <w:p>
      <w:pPr>
        <w:pStyle w:val="ListBullet"/>
      </w:pPr>
      <w:r>
        <w:t>**Step 4:** Document all containment actions taken.</w:t>
      </w:r>
    </w:p>
    <w:p>
      <w:pPr>
        <w:pStyle w:val="Heading3"/>
      </w:pPr>
      <w:r>
        <w:t>5.3 Assessment and Investigation</w:t>
      </w:r>
    </w:p>
    <w:p>
      <w:pPr>
        <w:pStyle w:val="ListBullet"/>
      </w:pPr>
      <w:r>
        <w:t>**Step 5:** Privacy Officer, in consultation with IT Security Lead, to assess:</w:t>
      </w:r>
    </w:p>
    <w:p>
      <w:pPr>
        <w:pStyle w:val="ListBullet"/>
      </w:pPr>
      <w:r>
        <w:t>Nature and sensitivity of the personal information involved (refer to cybersecai.io platform for risk classification: High risk for fields such as full name, DOB, address, financial and government identifiers).</w:t>
      </w:r>
    </w:p>
    <w:p>
      <w:pPr>
        <w:pStyle w:val="ListBullet"/>
      </w:pPr>
      <w:r>
        <w:t>Number of individuals affected.</w:t>
      </w:r>
    </w:p>
    <w:p>
      <w:pPr>
        <w:pStyle w:val="ListBullet"/>
      </w:pPr>
      <w:r>
        <w:t>Cause and extent of the breach.</w:t>
      </w:r>
    </w:p>
    <w:p>
      <w:pPr>
        <w:pStyle w:val="ListBullet"/>
      </w:pPr>
      <w:r>
        <w:t>Potential for significant harm (PIPEDA, s.10.1(7)).</w:t>
      </w:r>
    </w:p>
    <w:p>
      <w:pPr>
        <w:pStyle w:val="ListBullet"/>
      </w:pPr>
      <w:r>
        <w:t>**Step 6:** Initiate a formal investigation and maintain a comprehensive breach log.</w:t>
      </w:r>
    </w:p>
    <w:p>
      <w:pPr>
        <w:pStyle w:val="Heading3"/>
      </w:pPr>
      <w:r>
        <w:t>5.4 Notification</w:t>
      </w:r>
    </w:p>
    <w:p>
      <w:pPr>
        <w:pStyle w:val="ListBullet"/>
      </w:pPr>
      <w:r>
        <w:t>**Step 7:** If the breach poses a real risk of significant harm, the Privacy Officer must:</w:t>
      </w:r>
    </w:p>
    <w:p>
      <w:pPr>
        <w:pStyle w:val="ListBullet"/>
      </w:pPr>
      <w:r>
        <w:t>Notify the Office of the Privacy Commissioner of Canada (OPC) as soon as feasible (PIPEDA, s.10.1(3)).</w:t>
      </w:r>
    </w:p>
    <w:p>
      <w:pPr>
        <w:pStyle w:val="ListBullet"/>
      </w:pPr>
      <w:r>
        <w:t>Notify affected individuals directly, unless prohibited by law (PIPEDA, s.10.1(6)).</w:t>
      </w:r>
    </w:p>
    <w:p>
      <w:pPr>
        <w:pStyle w:val="ListBullet"/>
      </w:pPr>
      <w:r>
        <w:t>Notify third parties (e.g., law enforcement, insurers, service providers) if necessary to reduce risk of harm (PIPEDA, s.10.2).</w:t>
      </w:r>
    </w:p>
    <w:p>
      <w:pPr>
        <w:pStyle w:val="ListBullet"/>
      </w:pPr>
      <w:r>
        <w:t>**Step 8:** Notifications must include:</w:t>
      </w:r>
    </w:p>
    <w:p>
      <w:pPr>
        <w:pStyle w:val="ListBullet"/>
      </w:pPr>
      <w:r>
        <w:t>Description of the breach and personal information involved.</w:t>
      </w:r>
    </w:p>
    <w:p>
      <w:pPr>
        <w:pStyle w:val="ListBullet"/>
      </w:pPr>
      <w:r>
        <w:t>Steps taken to mitigate harm.</w:t>
      </w:r>
    </w:p>
    <w:p>
      <w:pPr>
        <w:pStyle w:val="ListBullet"/>
      </w:pPr>
      <w:r>
        <w:t>Steps individuals can take to protect themselves.</w:t>
      </w:r>
    </w:p>
    <w:p>
      <w:pPr>
        <w:pStyle w:val="ListBullet"/>
      </w:pPr>
      <w:r>
        <w:t>Contact information for further inquiries.</w:t>
      </w:r>
    </w:p>
    <w:p>
      <w:pPr>
        <w:pStyle w:val="Heading3"/>
      </w:pPr>
      <w:r>
        <w:t>5.5 Mitigation and Remediation</w:t>
      </w:r>
    </w:p>
    <w:p>
      <w:pPr>
        <w:pStyle w:val="ListBullet"/>
      </w:pPr>
      <w:r>
        <w:t>**Step 9:** Implement measures to mitigate ongoing risks (e.g., password resets, enhanced monitoring, policy updates).</w:t>
      </w:r>
    </w:p>
    <w:p>
      <w:pPr>
        <w:pStyle w:val="ListBullet"/>
      </w:pPr>
      <w:r>
        <w:t>**Step 10:** Review and update security safeguards and internal policies to prevent recurrence.</w:t>
      </w:r>
    </w:p>
    <w:p>
      <w:r>
        <w:t>**Expert Recommendations (from cybersecai.io):**</w:t>
      </w:r>
    </w:p>
    <w:p>
      <w:pPr>
        <w:pStyle w:val="ListBullet"/>
      </w:pPr>
      <w:r>
        <w:t>Implement data minimization and access controls per ISO/IEC 27001:2013 (A.9, A.18).</w:t>
      </w:r>
    </w:p>
    <w:p>
      <w:pPr>
        <w:pStyle w:val="ListBullet"/>
      </w:pPr>
      <w:r>
        <w:t>Apply encryption at rest and in transit (ISO/IEC 27002:2022, NIST SP 800-53 SC-13, SC-28).</w:t>
      </w:r>
    </w:p>
    <w:p>
      <w:pPr>
        <w:pStyle w:val="ListBullet"/>
      </w:pPr>
      <w:r>
        <w:t>Conduct regular risk assessments and audits (ISO/IEC 27005, NIST SP 800-30).</w:t>
      </w:r>
    </w:p>
    <w:p>
      <w:pPr>
        <w:pStyle w:val="ListBullet"/>
      </w:pPr>
      <w:r>
        <w:t>Enforce strong authentication and authorization (ISO/IEC 27001 A.9, NIST AC-2, IA-2).</w:t>
      </w:r>
    </w:p>
    <w:p>
      <w:pPr>
        <w:pStyle w:val="ListBullet"/>
      </w:pPr>
      <w:r>
        <w:t>Maintain incident response and data breach notification procedures (ISO/IEC 27035, NIST IR-4).</w:t>
      </w:r>
    </w:p>
    <w:p>
      <w:pPr>
        <w:pStyle w:val="ListBullet"/>
      </w:pPr>
      <w:r>
        <w:t>Ensure data retention and secure disposal policies (ISO/IEC 27001 A.8.3, NIST MP-6).</w:t>
      </w:r>
    </w:p>
    <w:p>
      <w:pPr>
        <w:pStyle w:val="ListBullet"/>
      </w:pPr>
      <w:r>
        <w:t>Apply data loss prevention (DLP) solutions (ISO 27001 A.8, NIST SI-4).</w:t>
      </w:r>
    </w:p>
    <w:p>
      <w:pPr>
        <w:pStyle w:val="ListBullet"/>
      </w:pPr>
      <w:r>
        <w:t>Enforce multi-factor authentication for all access to sensitive data (ISO 27001 A.9, NIST IA-2).</w:t>
      </w:r>
    </w:p>
    <w:p>
      <w:pPr>
        <w:pStyle w:val="ListBullet"/>
      </w:pPr>
      <w:r>
        <w:t>Perform regular vulnerability assessments and penetration testing (ISO 27001:2013 A.12.6.1, NIST SP 800-53 RA-5).</w:t>
      </w:r>
    </w:p>
    <w:p>
      <w:pPr>
        <w:pStyle w:val="Heading3"/>
      </w:pPr>
      <w:r>
        <w:t>5.6 Record-Keeping</w:t>
      </w:r>
    </w:p>
    <w:p>
      <w:pPr>
        <w:pStyle w:val="ListBullet"/>
      </w:pPr>
      <w:r>
        <w:t>**Step 11:** Maintain records of every breach of security safeguards for at least 24 months, regardless of whether notification was required (PIPEDA, s.10.3).</w:t>
      </w:r>
    </w:p>
    <w:p>
      <w:pPr>
        <w:pStyle w:val="ListBullet"/>
      </w:pPr>
      <w:r>
        <w:t>**Step 12:** Records must be available to the OPC upon request.</w:t>
      </w:r>
    </w:p>
    <w:p>
      <w:r>
        <w:br/>
      </w:r>
    </w:p>
    <w:p>
      <w:pPr>
        <w:pStyle w:val="Heading2"/>
      </w:pPr>
      <w:r>
        <w:t>6. Training and Awareness</w:t>
      </w:r>
    </w:p>
    <w:p>
      <w:pPr>
        <w:pStyle w:val="ListBullet"/>
      </w:pPr>
      <w:r>
        <w:t>All staff must receive annual training on this Plan and their obligations under PIPEDA.</w:t>
      </w:r>
    </w:p>
    <w:p>
      <w:pPr>
        <w:pStyle w:val="ListBullet"/>
      </w:pPr>
      <w:r>
        <w:t>Regular drills and reviews to ensure preparedness.</w:t>
      </w:r>
    </w:p>
    <w:p>
      <w:pPr>
        <w:pStyle w:val="ListBullet"/>
      </w:pPr>
      <w:r>
        <w:t>**Expert Note:** Security awareness training must include specific modules on handling highly sensitive data fields (as identified by cybersecai.io) and recognizing regulated data under GDPR, CCPA/CPRA, PCI DSS, and the Australian Privacy Act.</w:t>
      </w:r>
    </w:p>
    <w:p>
      <w:r>
        <w:br/>
      </w:r>
    </w:p>
    <w:p>
      <w:pPr>
        <w:pStyle w:val="Heading2"/>
      </w:pPr>
      <w:r>
        <w:t>7. Review and Updates</w:t>
      </w:r>
    </w:p>
    <w:p>
      <w:pPr>
        <w:pStyle w:val="ListBullet"/>
      </w:pPr>
      <w:r>
        <w:t>The Privacy Officer will review this Plan annually and after any significant breach event.</w:t>
      </w:r>
    </w:p>
    <w:p>
      <w:pPr>
        <w:pStyle w:val="ListBullet"/>
      </w:pPr>
      <w:r>
        <w:t>Updates will be communicated to all staff and incorporated into training.</w:t>
      </w:r>
    </w:p>
    <w:p>
      <w:r>
        <w:br/>
      </w:r>
    </w:p>
    <w:p>
      <w:pPr>
        <w:pStyle w:val="Heading2"/>
      </w:pPr>
      <w:r>
        <w:t>8. Regulatory References</w:t>
      </w:r>
    </w:p>
    <w:p>
      <w:pPr>
        <w:pStyle w:val="ListBullet"/>
      </w:pPr>
      <w:r>
        <w:t>**PIPEDA, s.10.1(1):** Mandatory breach reporting and record-keeping.</w:t>
      </w:r>
    </w:p>
    <w:p>
      <w:pPr>
        <w:pStyle w:val="ListBullet"/>
      </w:pPr>
      <w:r>
        <w:t>**PIPEDA, s.10.1(3):** Notification to OPC.</w:t>
      </w:r>
    </w:p>
    <w:p>
      <w:pPr>
        <w:pStyle w:val="ListBullet"/>
      </w:pPr>
      <w:r>
        <w:t>**PIPEDA, s.10.1(6):** Notification to affected individuals.</w:t>
      </w:r>
    </w:p>
    <w:p>
      <w:pPr>
        <w:pStyle w:val="ListBullet"/>
      </w:pPr>
      <w:r>
        <w:t>**PIPEDA, s.10.1(7):** Definition of significant harm.</w:t>
      </w:r>
    </w:p>
    <w:p>
      <w:pPr>
        <w:pStyle w:val="ListBullet"/>
      </w:pPr>
      <w:r>
        <w:t>**PIPEDA, s.10.2:** Notification to other organizations or government institutions.</w:t>
      </w:r>
    </w:p>
    <w:p>
      <w:pPr>
        <w:pStyle w:val="ListBullet"/>
      </w:pPr>
      <w:r>
        <w:t>**PIPEDA, s.10.3:** Record-keeping requirements.</w:t>
      </w:r>
    </w:p>
    <w:p>
      <w:pPr>
        <w:pStyle w:val="ListBullet"/>
      </w:pPr>
      <w:r>
        <w:t>**GDPR (EU/EEA):** Articles 33-34 (breach notification).</w:t>
      </w:r>
    </w:p>
    <w:p>
      <w:pPr>
        <w:pStyle w:val="ListBullet"/>
      </w:pPr>
      <w:r>
        <w:t>**Australian Privacy Act:** Notifiable Data Breaches (NDB) scheme.</w:t>
      </w:r>
    </w:p>
    <w:p>
      <w:pPr>
        <w:pStyle w:val="ListBullet"/>
      </w:pPr>
      <w:r>
        <w:t>**CCPA/CPRA (California):** Data breach notification requirements.</w:t>
      </w:r>
    </w:p>
    <w:p>
      <w:pPr>
        <w:pStyle w:val="ListBullet"/>
      </w:pPr>
      <w:r>
        <w:t>**PCI DSS:** Incident response for payment card data.</w:t>
      </w:r>
    </w:p>
    <w:p>
      <w:r>
        <w:br/>
      </w:r>
    </w:p>
    <w:p>
      <w:pPr>
        <w:pStyle w:val="Heading2"/>
      </w:pPr>
      <w:r>
        <w:t>9. Contact</w:t>
      </w:r>
    </w:p>
    <w:p>
      <w:r>
        <w:t xml:space="preserve">**Privacy Officer:**  </w:t>
      </w:r>
    </w:p>
    <w:p>
      <w:r>
        <w:t xml:space="preserve">[Name]  </w:t>
      </w:r>
    </w:p>
    <w:p>
      <w:r>
        <w:t xml:space="preserve">[Contact Information]  </w:t>
      </w:r>
    </w:p>
    <w:p>
      <w:r>
        <w:t>[Reporting Channel]</w:t>
      </w:r>
    </w:p>
    <w:p>
      <w:r>
        <w:br/>
      </w:r>
    </w:p>
    <w:p>
      <w:r>
        <w:t>*This Plan is a confidential internal document and must not be disclosed outside Oakville HealthCare Provider without authorization.*</w:t>
      </w:r>
    </w:p>
    <w:p>
      <w:r>
        <w:br/>
      </w:r>
    </w:p>
    <w:p>
      <w:r>
        <w:t xml:space="preserve">**Appendix A: Data Breach Incident Report Form**  </w:t>
      </w:r>
    </w:p>
    <w:p>
      <w:r>
        <w:t>[Attach or link to internal form]</w:t>
      </w:r>
    </w:p>
    <w:p>
      <w:r>
        <w:br/>
      </w:r>
    </w:p>
    <w:p>
      <w:pPr>
        <w:pStyle w:val="Heading3"/>
      </w:pPr>
      <w:r>
        <w:t>Embedded Data Risk Analysis (cybersecai.io platform)</w:t>
      </w:r>
    </w:p>
    <w:p>
      <w:pPr>
        <w:pStyle w:val="ListBullet"/>
      </w:pPr>
      <w:r>
        <w:t>**Detected Sensitive Fields:** Full Name, Date of Birth, Address, Email Address, Phone Number, Driver’s License Number, Tax ID/TFN, Bank Account Number, Credit Card Number, Login Credentials, Device ID.</w:t>
      </w:r>
    </w:p>
    <w:p>
      <w:pPr>
        <w:pStyle w:val="ListBullet"/>
      </w:pPr>
      <w:r>
        <w:t>**Applicable Standards:** GDPR, Australian Privacy Act, CCPA/CPRA, PCI DSS.</w:t>
      </w:r>
    </w:p>
    <w:p>
      <w:pPr>
        <w:pStyle w:val="ListBullet"/>
      </w:pPr>
      <w:r>
        <w:t>**Jurisdictions Impacted:** Canada, EU/EEA, Australia, USA (California), Global (PCI DSS).</w:t>
      </w:r>
    </w:p>
    <w:p>
      <w:pPr>
        <w:pStyle w:val="ListBullet"/>
      </w:pPr>
      <w:r>
        <w:t>**Overall Risk Rating:** High</w:t>
      </w:r>
    </w:p>
    <w:p>
      <w:pPr>
        <w:pStyle w:val="ListBullet"/>
      </w:pPr>
      <w:r>
        <w:t>**Data Classification:** Highly Sensitive/Confidential</w:t>
      </w:r>
    </w:p>
    <w:p>
      <w:pPr>
        <w:pStyle w:val="ListBullet"/>
      </w:pPr>
      <w:r>
        <w:rPr>
          <w:b/>
        </w:rPr>
        <w:t>Proposed Controls:</w:t>
      </w:r>
    </w:p>
    <w:p>
      <w:pPr>
        <w:pStyle w:val="ListBullet2"/>
      </w:pPr>
      <w:r>
        <w:t>Strong access controls and least privilege</w:t>
      </w:r>
    </w:p>
    <w:p>
      <w:pPr>
        <w:pStyle w:val="ListBullet2"/>
      </w:pPr>
      <w:r>
        <w:t>Encryption at rest and in transit</w:t>
      </w:r>
    </w:p>
    <w:p>
      <w:pPr>
        <w:pStyle w:val="ListBullet2"/>
      </w:pPr>
      <w:r>
        <w:t>Multi-factor authentication</w:t>
      </w:r>
    </w:p>
    <w:p>
      <w:pPr>
        <w:pStyle w:val="ListBullet2"/>
      </w:pPr>
      <w:r>
        <w:t>Regular audits and monitoring</w:t>
      </w:r>
    </w:p>
    <w:p>
      <w:pPr>
        <w:pStyle w:val="ListBullet2"/>
      </w:pPr>
      <w:r>
        <w:t>Data loss prevention (DLP)</w:t>
      </w:r>
    </w:p>
    <w:p>
      <w:pPr>
        <w:pStyle w:val="ListBullet2"/>
      </w:pPr>
      <w:r>
        <w:t>Secure disposal policies</w:t>
      </w:r>
    </w:p>
    <w:p>
      <w:pPr>
        <w:pStyle w:val="ListBullet2"/>
      </w:pPr>
      <w:r>
        <w:t>Security awareness training</w:t>
      </w:r>
    </w:p>
    <w:p>
      <w:pPr>
        <w:pStyle w:val="ListBullet2"/>
      </w:pPr>
      <w:r>
        <w:t>Incident response and notification procedures</w:t>
      </w:r>
    </w:p>
    <w:p>
      <w:pPr>
        <w:pStyle w:val="ListBullet2"/>
      </w:pPr>
      <w:r>
        <w:t>Secure development practices</w:t>
      </w:r>
    </w:p>
    <w:p>
      <w:pPr>
        <w:pStyle w:val="ListBullet2"/>
      </w:pPr>
      <w:r>
        <w:t>Vulnerability assessments and penetration testing</w:t>
      </w:r>
    </w:p>
    <w:p>
      <w:r>
        <w:t>*Source: cybersecai.io platform automated analysis of OHP’s data environment (see attached JSON audit files for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