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Pepsi Pty Ltd</w:t>
      </w:r>
    </w:p>
    <w:p>
      <w:pPr>
        <w:pStyle w:val="Heading1"/>
      </w:pPr>
      <w:r>
        <w:t>Data Classification and Handling Policy</w:t>
      </w:r>
    </w:p>
    <w:p>
      <w:r>
        <w:t xml:space="preserve">**Effective Date:** [Insert Date]  </w:t>
      </w:r>
    </w:p>
    <w:p>
      <w:r>
        <w:t xml:space="preserve">**Approved By:** [Appropriate Authority]  </w:t>
      </w:r>
    </w:p>
    <w:p>
      <w:r>
        <w:t>**Version:** 1.0</w:t>
      </w:r>
    </w:p>
    <w:p>
      <w:r>
        <w:br/>
      </w:r>
    </w:p>
    <w:p>
      <w:pPr>
        <w:pStyle w:val="Heading2"/>
      </w:pPr>
      <w:r>
        <w:t>1. Purpose</w:t>
      </w:r>
    </w:p>
    <w:p>
      <w:r>
        <w:t>This Policy establishes a framework for classifying and handling data at Pepsi Pty Ltd (“Company”) to ensure compliance with applicable U.S. laws and regulations (including NIST, FTC, HIPAA, and GLBA), as well as global and regional privacy standards such as GDPR, the Australian Privacy Act, and PCI DSS. The Policy is designed to mitigate breach risks and protect the confidentiality, integrity, and availability of Company data, especially in light of the high-risk regulated data fields identified in recent audits (source: cybersecai.io).</w:t>
      </w:r>
    </w:p>
    <w:p>
      <w:r>
        <w:br/>
      </w:r>
    </w:p>
    <w:p>
      <w:pPr>
        <w:pStyle w:val="Heading2"/>
      </w:pPr>
      <w:r>
        <w:t>2. Scope</w:t>
      </w:r>
    </w:p>
    <w:p>
      <w:r>
        <w:t>This Policy applies to all employees, contractors, and third-party service providers who create, access, process, store, transmit, or dispose of Company data, regardless of format or location.</w:t>
      </w:r>
    </w:p>
    <w:p>
      <w:r>
        <w:br/>
      </w:r>
    </w:p>
    <w:p>
      <w:pPr>
        <w:pStyle w:val="Heading2"/>
      </w:pPr>
      <w:r>
        <w:t>3. Regulatory References</w:t>
      </w:r>
    </w:p>
    <w:p>
      <w:pPr>
        <w:pStyle w:val="ListBullet"/>
      </w:pPr>
      <w:r>
        <w:t>**NIST SP 800-53 &amp; 800-171:** Security and Privacy Controls</w:t>
      </w:r>
    </w:p>
    <w:p>
      <w:pPr>
        <w:pStyle w:val="ListBullet"/>
      </w:pPr>
      <w:r>
        <w:t>**FTC Safeguards Rule:** 16 CFR Part 314</w:t>
      </w:r>
    </w:p>
    <w:p>
      <w:pPr>
        <w:pStyle w:val="ListBullet"/>
      </w:pPr>
      <w:r>
        <w:t>**HIPAA:** 45 CFR Parts 160, 162, 164</w:t>
      </w:r>
    </w:p>
    <w:p>
      <w:pPr>
        <w:pStyle w:val="ListBullet"/>
      </w:pPr>
      <w:r>
        <w:t>**GLBA:** 15 U.S.C. §§ 6801–6809</w:t>
      </w:r>
    </w:p>
    <w:p>
      <w:pPr>
        <w:pStyle w:val="ListBullet"/>
      </w:pPr>
      <w:r>
        <w:t>**GDPR:** EU General Data Protection Regulation (EU/EEA and global applicability)</w:t>
      </w:r>
    </w:p>
    <w:p>
      <w:pPr>
        <w:pStyle w:val="ListBullet"/>
      </w:pPr>
      <w:r>
        <w:t>**Australian Privacy Act:** Australia</w:t>
      </w:r>
    </w:p>
    <w:p>
      <w:pPr>
        <w:pStyle w:val="ListBullet"/>
      </w:pPr>
      <w:r>
        <w:t>**PCI DSS:** Global (payment card industry)</w:t>
      </w:r>
    </w:p>
    <w:p>
      <w:r>
        <w:br/>
      </w:r>
    </w:p>
    <w:p>
      <w:pPr>
        <w:pStyle w:val="Heading2"/>
      </w:pPr>
      <w:r>
        <w:t>4. Data Classification Levels</w:t>
      </w:r>
    </w:p>
    <w:p>
      <w:r>
        <w:t>All Company data must be classified into one of the following categories, with particular attention to the regulated data types identified in our cybersecai.io platform audits:</w:t>
      </w:r>
    </w:p>
    <w:p>
      <w:pPr>
        <w:pStyle w:val="Heading3"/>
      </w:pPr>
      <w:r>
        <w:t>4.1. Confidential</w:t>
      </w:r>
    </w:p>
    <w:p>
      <w:pPr>
        <w:pStyle w:val="ListBullet"/>
      </w:pPr>
      <w:r>
        <w:t>**Definition:** Data whose unauthorized disclosure could cause significant harm to individuals or the Company.</w:t>
      </w:r>
    </w:p>
    <w:p>
      <w:pPr>
        <w:pStyle w:val="ListBullet"/>
      </w:pPr>
      <w:r>
        <w:rPr>
          <w:b/>
        </w:rPr>
        <w:t>Examples:</w:t>
      </w:r>
    </w:p>
    <w:p>
      <w:pPr>
        <w:pStyle w:val="ListBullet2"/>
      </w:pPr>
      <w:r>
        <w:t>Social Security Numbers, health records (PHI), financial account numbers, trade secrets, customer PII, employee records.</w:t>
      </w:r>
    </w:p>
    <w:p>
      <w:pPr>
        <w:pStyle w:val="ListBullet"/>
      </w:pPr>
      <w:r>
        <w:rPr>
          <w:b/>
        </w:rPr>
        <w:t>Regulated fields detected in Company systems (source: cybersecai.io):</w:t>
      </w:r>
    </w:p>
    <w:p>
      <w:pPr>
        <w:pStyle w:val="ListBullet2"/>
      </w:pPr>
      <w:r>
        <w:t>Full Name, Address, Date of Birth, Email Address, Bank Account Number, Financial Account, Australian Business Number, Driver’s License Number, Tax File Number, Medicare Number, Login Credentials, Credit Card Number, Cardholder Name, CVV/CVC, Customer Photos, Payment Receipts, Device ID.</w:t>
      </w:r>
    </w:p>
    <w:p>
      <w:pPr>
        <w:pStyle w:val="ListBullet"/>
      </w:pPr>
      <w:r>
        <w:t>**Regulatory Reference:** HIPAA, GLBA, FTC, GDPR, Australian Privacy Act, PCI DSS</w:t>
      </w:r>
    </w:p>
    <w:p>
      <w:pPr>
        <w:pStyle w:val="Heading3"/>
      </w:pPr>
      <w:r>
        <w:t>4.2. Internal Use Only</w:t>
      </w:r>
    </w:p>
    <w:p>
      <w:pPr>
        <w:pStyle w:val="ListBullet"/>
      </w:pPr>
      <w:r>
        <w:t>**Definition:** Data intended for use within the Company, where unauthorized disclosure could cause limited harm.</w:t>
      </w:r>
    </w:p>
    <w:p>
      <w:pPr>
        <w:pStyle w:val="ListBullet"/>
      </w:pPr>
      <w:r>
        <w:t>**Examples:** Internal policies, non-public business plans, internal emails.</w:t>
      </w:r>
    </w:p>
    <w:p>
      <w:pPr>
        <w:pStyle w:val="Heading3"/>
      </w:pPr>
      <w:r>
        <w:t>4.3. Public</w:t>
      </w:r>
    </w:p>
    <w:p>
      <w:pPr>
        <w:pStyle w:val="ListBullet"/>
      </w:pPr>
      <w:r>
        <w:t>**Definition:** Data approved for public disclosure.</w:t>
      </w:r>
    </w:p>
    <w:p>
      <w:pPr>
        <w:pStyle w:val="ListBullet"/>
      </w:pPr>
      <w:r>
        <w:t>**Examples:** Press releases, marketing materials, published financial reports.</w:t>
      </w:r>
    </w:p>
    <w:p>
      <w:r>
        <w:br/>
      </w:r>
    </w:p>
    <w:p>
      <w:pPr>
        <w:pStyle w:val="Heading2"/>
      </w:pPr>
      <w:r>
        <w:t>5. Data Handling Requirements</w:t>
      </w:r>
    </w:p>
    <w:p>
      <w:pPr>
        <w:pStyle w:val="Heading3"/>
      </w:pPr>
      <w:r>
        <w:t>5.1. Confidential Data</w:t>
      </w:r>
    </w:p>
    <w:p>
      <w:pPr>
        <w:pStyle w:val="ListBullet"/>
      </w:pPr>
      <w:r>
        <w:rPr>
          <w:b/>
        </w:rPr>
        <w:t>Access Control:</w:t>
      </w:r>
    </w:p>
    <w:p>
      <w:pPr>
        <w:pStyle w:val="ListBullet2"/>
      </w:pPr>
      <w:r>
        <w:t>Restricted to authorized personnel on a need-to-know basis.</w:t>
      </w:r>
    </w:p>
    <w:p>
      <w:pPr>
        <w:pStyle w:val="ListBullet2"/>
      </w:pPr>
      <w:r>
        <w:t>Multi-factor authentication (MFA) required.</w:t>
      </w:r>
    </w:p>
    <w:p>
      <w:pPr>
        <w:pStyle w:val="ListBullet"/>
      </w:pPr>
      <w:r>
        <w:rPr>
          <w:b/>
        </w:rPr>
        <w:t>Storage:</w:t>
      </w:r>
    </w:p>
    <w:p>
      <w:pPr>
        <w:pStyle w:val="ListBullet2"/>
      </w:pPr>
      <w:r>
        <w:t>Encrypted at rest and in transit (AES-256 or equivalent).</w:t>
      </w:r>
    </w:p>
    <w:p>
      <w:pPr>
        <w:pStyle w:val="ListBullet2"/>
      </w:pPr>
      <w:r>
        <w:t>Stored only on approved, secured systems.</w:t>
      </w:r>
    </w:p>
    <w:p>
      <w:pPr>
        <w:pStyle w:val="ListBullet"/>
      </w:pPr>
      <w:r>
        <w:rPr>
          <w:b/>
        </w:rPr>
        <w:t>Transmission:</w:t>
      </w:r>
    </w:p>
    <w:p>
      <w:pPr>
        <w:pStyle w:val="ListBullet2"/>
      </w:pPr>
      <w:r>
        <w:t>Encrypted channels (TLS 1.2+).</w:t>
      </w:r>
    </w:p>
    <w:p>
      <w:pPr>
        <w:pStyle w:val="ListBullet2"/>
      </w:pPr>
      <w:r>
        <w:t>No transmission via unencrypted email or removable media.</w:t>
      </w:r>
    </w:p>
    <w:p>
      <w:pPr>
        <w:pStyle w:val="ListBullet"/>
      </w:pPr>
      <w:r>
        <w:rPr>
          <w:b/>
        </w:rPr>
        <w:t>Disposal:</w:t>
      </w:r>
    </w:p>
    <w:p>
      <w:pPr>
        <w:pStyle w:val="ListBullet2"/>
      </w:pPr>
      <w:r>
        <w:t>Secure deletion (DoD 5220.22-M or NIST 800-88 standard).</w:t>
      </w:r>
    </w:p>
    <w:p>
      <w:pPr>
        <w:pStyle w:val="ListBullet2"/>
      </w:pPr>
      <w:r>
        <w:t>Physical destruction for paper records.</w:t>
      </w:r>
    </w:p>
    <w:p>
      <w:pPr>
        <w:pStyle w:val="ListBullet"/>
      </w:pPr>
      <w:r>
        <w:rPr>
          <w:b/>
        </w:rPr>
        <w:t>Breach Response:</w:t>
      </w:r>
    </w:p>
    <w:p>
      <w:pPr>
        <w:pStyle w:val="ListBullet2"/>
      </w:pPr>
      <w:r>
        <w:t>Immediate reporting to Data Protection Officer (DPO).</w:t>
      </w:r>
    </w:p>
    <w:p>
      <w:pPr>
        <w:pStyle w:val="ListBullet2"/>
      </w:pPr>
      <w:r>
        <w:t>Incident response per Company Breach Response Plan.</w:t>
      </w:r>
    </w:p>
    <w:p>
      <w:pPr>
        <w:pStyle w:val="ListBullet"/>
      </w:pPr>
      <w:r>
        <w:rPr>
          <w:b/>
        </w:rPr>
        <w:t>Special Note:</w:t>
      </w:r>
    </w:p>
    <w:p>
      <w:pPr>
        <w:pStyle w:val="ListBullet2"/>
      </w:pPr>
      <w:r>
        <w:t>In accordance with cybersecai.io findings, any files or systems containing regulated data fields such as Tax File Numbers, Medicare Numbers, Credit Card Numbers, Login Credentials, and Driver’s License Numbers must be quarantined and reviewed immediately upon detection.</w:t>
      </w:r>
    </w:p>
    <w:p>
      <w:pPr>
        <w:pStyle w:val="Heading3"/>
      </w:pPr>
      <w:r>
        <w:t>5.2. Internal Use Only Data</w:t>
      </w:r>
    </w:p>
    <w:p>
      <w:pPr>
        <w:pStyle w:val="ListBullet"/>
      </w:pPr>
      <w:r>
        <w:rPr>
          <w:b/>
        </w:rPr>
        <w:t>Access Control:</w:t>
      </w:r>
    </w:p>
    <w:p>
      <w:pPr>
        <w:pStyle w:val="ListBullet2"/>
      </w:pPr>
      <w:r>
        <w:t>Limited to employees and contractors with business need.</w:t>
      </w:r>
    </w:p>
    <w:p>
      <w:pPr>
        <w:pStyle w:val="ListBullet"/>
      </w:pPr>
      <w:r>
        <w:rPr>
          <w:b/>
        </w:rPr>
        <w:t>Storage:</w:t>
      </w:r>
    </w:p>
    <w:p>
      <w:pPr>
        <w:pStyle w:val="ListBullet2"/>
      </w:pPr>
      <w:r>
        <w:t>May be stored on Company systems; encryption recommended.</w:t>
      </w:r>
    </w:p>
    <w:p>
      <w:pPr>
        <w:pStyle w:val="ListBullet"/>
      </w:pPr>
      <w:r>
        <w:rPr>
          <w:b/>
        </w:rPr>
        <w:t>Transmission:</w:t>
      </w:r>
    </w:p>
    <w:p>
      <w:pPr>
        <w:pStyle w:val="ListBullet2"/>
      </w:pPr>
      <w:r>
        <w:t>Secure channels preferred.</w:t>
      </w:r>
    </w:p>
    <w:p>
      <w:pPr>
        <w:pStyle w:val="ListBullet"/>
      </w:pPr>
      <w:r>
        <w:rPr>
          <w:b/>
        </w:rPr>
        <w:t>Disposal:</w:t>
      </w:r>
    </w:p>
    <w:p>
      <w:pPr>
        <w:pStyle w:val="ListBullet2"/>
      </w:pPr>
      <w:r>
        <w:t>Standard deletion; shredding for paper.</w:t>
      </w:r>
    </w:p>
    <w:p>
      <w:pPr>
        <w:pStyle w:val="Heading3"/>
      </w:pPr>
      <w:r>
        <w:t>5.3. Public Data</w:t>
      </w:r>
    </w:p>
    <w:p>
      <w:pPr>
        <w:pStyle w:val="ListBullet"/>
      </w:pPr>
      <w:r>
        <w:rPr>
          <w:b/>
        </w:rPr>
        <w:t>Access Control:</w:t>
      </w:r>
    </w:p>
    <w:p>
      <w:pPr>
        <w:pStyle w:val="ListBullet2"/>
      </w:pPr>
      <w:r>
        <w:t>No restriction.</w:t>
      </w:r>
    </w:p>
    <w:p>
      <w:pPr>
        <w:pStyle w:val="ListBullet"/>
      </w:pPr>
      <w:r>
        <w:rPr>
          <w:b/>
        </w:rPr>
        <w:t>Storage/Transmission/Disposal:</w:t>
      </w:r>
    </w:p>
    <w:p>
      <w:pPr>
        <w:pStyle w:val="ListBullet2"/>
      </w:pPr>
      <w:r>
        <w:t>No special requirements.</w:t>
      </w:r>
    </w:p>
    <w:p>
      <w:r>
        <w:br/>
      </w:r>
    </w:p>
    <w:p>
      <w:pPr>
        <w:pStyle w:val="Heading2"/>
      </w:pPr>
      <w:r>
        <w:t>6. Roles and Responsibilities</w:t>
      </w:r>
    </w:p>
    <w:p>
      <w:pPr>
        <w:pStyle w:val="ListBullet"/>
      </w:pPr>
      <w:r>
        <w:rPr>
          <w:b/>
        </w:rPr>
        <w:t>Data Protection Officer (DPO):</w:t>
      </w:r>
    </w:p>
    <w:p>
      <w:pPr>
        <w:pStyle w:val="ListBullet2"/>
      </w:pPr>
      <w:r>
        <w:t>Oversees policy implementation, compliance, and breach response.</w:t>
      </w:r>
    </w:p>
    <w:p>
      <w:pPr>
        <w:pStyle w:val="ListBullet2"/>
      </w:pPr>
      <w:r>
        <w:t>Reviews cybersecai.io alerts and ensures prompt action on high-risk data findings.</w:t>
      </w:r>
    </w:p>
    <w:p>
      <w:pPr>
        <w:pStyle w:val="ListBullet"/>
      </w:pPr>
      <w:r>
        <w:rPr>
          <w:b/>
        </w:rPr>
        <w:t>Department Heads:</w:t>
      </w:r>
    </w:p>
    <w:p>
      <w:pPr>
        <w:pStyle w:val="ListBullet2"/>
      </w:pPr>
      <w:r>
        <w:t>Ensure staff awareness and adherence within their units.</w:t>
      </w:r>
    </w:p>
    <w:p>
      <w:pPr>
        <w:pStyle w:val="ListBullet"/>
      </w:pPr>
      <w:r>
        <w:rPr>
          <w:b/>
        </w:rPr>
        <w:t>IT Department:</w:t>
      </w:r>
    </w:p>
    <w:p>
      <w:pPr>
        <w:pStyle w:val="ListBullet2"/>
      </w:pPr>
      <w:r>
        <w:t>Implements technical controls and monitors compliance.</w:t>
      </w:r>
    </w:p>
    <w:p>
      <w:pPr>
        <w:pStyle w:val="ListBullet2"/>
      </w:pPr>
      <w:r>
        <w:t>Integrates cybersecai.io monitoring and alerting into incident response workflows.</w:t>
      </w:r>
    </w:p>
    <w:p>
      <w:pPr>
        <w:pStyle w:val="ListBullet"/>
      </w:pPr>
      <w:r>
        <w:rPr>
          <w:b/>
        </w:rPr>
        <w:t>All Employees/Contractors:</w:t>
      </w:r>
    </w:p>
    <w:p>
      <w:pPr>
        <w:pStyle w:val="ListBullet2"/>
      </w:pPr>
      <w:r>
        <w:t>Classify and handle data per this Policy; report incidents promptly.</w:t>
      </w:r>
    </w:p>
    <w:p>
      <w:pPr>
        <w:pStyle w:val="ListBullet2"/>
      </w:pPr>
      <w:r>
        <w:t>Immediately escalate any cybersecai.io high-risk or quarantine alerts to the DPO.</w:t>
      </w:r>
    </w:p>
    <w:p>
      <w:r>
        <w:br/>
      </w:r>
    </w:p>
    <w:p>
      <w:pPr>
        <w:pStyle w:val="Heading2"/>
      </w:pPr>
      <w:r>
        <w:t>7. Training and Awareness</w:t>
      </w:r>
    </w:p>
    <w:p>
      <w:r>
        <w:t>All personnel must complete annual data protection and handling training. Additional training is required for those handling Confidential data, with specific modules on regulated data types (e.g., PCI DSS, GDPR, Australian Privacy Act) and incident response to cybersecai.io alerts.</w:t>
      </w:r>
    </w:p>
    <w:p>
      <w:r>
        <w:br/>
      </w:r>
    </w:p>
    <w:p>
      <w:pPr>
        <w:pStyle w:val="Heading2"/>
      </w:pPr>
      <w:r>
        <w:t>8. Policy Enforcement</w:t>
      </w:r>
    </w:p>
    <w:p>
      <w:r>
        <w:t xml:space="preserve">Violations may result in disciplinary action, up to and including termination, and potential legal liability. The Company reserves the right to audit compliance at any time.  </w:t>
      </w:r>
    </w:p>
    <w:p>
      <w:r>
        <w:t>**Note:** Failure to act on cybersecai.io high-risk or quarantine alerts will be considered a serious policy violation.</w:t>
      </w:r>
    </w:p>
    <w:p>
      <w:r>
        <w:br/>
      </w:r>
    </w:p>
    <w:p>
      <w:pPr>
        <w:pStyle w:val="Heading2"/>
      </w:pPr>
      <w:r>
        <w:t>9. Review and Updates</w:t>
      </w:r>
    </w:p>
    <w:p>
      <w:r>
        <w:t>This Policy will be reviewed annually or upon significant regulatory or business changes, and updated to reflect new findings from cybersecai.io data risk assessments.</w:t>
      </w:r>
    </w:p>
    <w:p>
      <w:r>
        <w:br/>
      </w:r>
    </w:p>
    <w:p>
      <w:pPr>
        <w:pStyle w:val="Heading2"/>
      </w:pPr>
      <w:r>
        <w:t>10. Contact</w:t>
      </w:r>
    </w:p>
    <w:p>
      <w:r>
        <w:t xml:space="preserve">For questions or to report a data incident, contact:  </w:t>
      </w:r>
    </w:p>
    <w:p>
      <w:r>
        <w:t xml:space="preserve">**Data Protection Officer**  </w:t>
      </w:r>
    </w:p>
    <w:p>
      <w:r>
        <w:t xml:space="preserve">Email: [Insert DPO Email]  </w:t>
      </w:r>
    </w:p>
    <w:p>
      <w:r>
        <w:t>Phone: [Insert DPO Phone]</w:t>
      </w:r>
    </w:p>
    <w:p>
      <w:r>
        <w:br/>
      </w:r>
    </w:p>
    <w:p>
      <w:r>
        <w:t>*This Policy is mandatory and supersedes all previous data classification and handling guidelines.*</w:t>
      </w:r>
    </w:p>
    <w:p>
      <w:r>
        <w:br/>
      </w:r>
    </w:p>
    <w:p>
      <w:pPr>
        <w:pStyle w:val="Heading3"/>
      </w:pPr>
      <w:r>
        <w:t>**Appendix: Summary of Recent Regulated Data Findings (source: cybersecai.io)**</w:t>
      </w:r>
    </w:p>
    <w:p>
      <w:pPr>
        <w:pStyle w:val="ListBullet"/>
      </w:pPr>
      <w:r>
        <w:rPr>
          <w:b/>
        </w:rPr>
        <w:t>Detected Regulated Fields:</w:t>
      </w:r>
    </w:p>
    <w:p>
      <w:pPr>
        <w:pStyle w:val="ListBullet2"/>
      </w:pPr>
      <w:r>
        <w:t>Full Name, Address, Date of Birth, Email Address, Bank Account Number, Financial Account, Australian Business Number, Driver’s License Number, Tax File Number, Medicare Number, Login Credentials, Credit Card Number, Cardholder Name, CVV/CVC, Customer Photos, Payment Receipts, Device ID.</w:t>
      </w:r>
    </w:p>
    <w:p>
      <w:pPr>
        <w:pStyle w:val="ListBullet"/>
      </w:pPr>
      <w:r>
        <w:rPr>
          <w:b/>
        </w:rPr>
        <w:t>Applicable Standards:</w:t>
      </w:r>
    </w:p>
    <w:p>
      <w:pPr>
        <w:pStyle w:val="ListBullet2"/>
      </w:pPr>
      <w:r>
        <w:t>GDPR, Australian Privacy Act, PCI DSS</w:t>
      </w:r>
    </w:p>
    <w:p>
      <w:pPr>
        <w:pStyle w:val="ListBullet"/>
      </w:pPr>
      <w:r>
        <w:rPr>
          <w:b/>
        </w:rPr>
        <w:t>Overall Risk Rating:</w:t>
      </w:r>
    </w:p>
    <w:p>
      <w:pPr>
        <w:pStyle w:val="ListBullet2"/>
      </w:pPr>
      <w:r>
        <w:t>High</w:t>
      </w:r>
    </w:p>
    <w:p>
      <w:pPr>
        <w:pStyle w:val="ListBullet"/>
      </w:pPr>
      <w:r>
        <w:rPr>
          <w:b/>
        </w:rPr>
        <w:t>Auditor Proposed Actions:</w:t>
      </w:r>
    </w:p>
    <w:p>
      <w:pPr>
        <w:pStyle w:val="ListBullet2"/>
      </w:pPr>
      <w:r>
        <w:t>Quarantine affected files, notify data owner, immediate review and remediation.</w:t>
      </w:r>
    </w:p>
    <w:p>
      <w:r>
        <w:t>*For further details, refer to cybersecai.io platform reports and integrate their recommendations into ongoing data handling practices.*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