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cybersecai Pty Ltd – Data Breach Incident Register</w:t>
      </w:r>
    </w:p>
    <w:p>
      <w:r>
        <w:t xml:space="preserve">**Purpose:**  </w:t>
      </w:r>
    </w:p>
    <w:p>
      <w:r>
        <w:t>To maintain a comprehensive, centralised record of all data breach incidents, investigations, and outcomes, in accordance with the Privacy Act 1988 (Cth), the Notifiable Data Breaches (NDB) scheme, and OAIC guidance.</w:t>
      </w:r>
    </w:p>
    <w:p>
      <w:r>
        <w:t xml:space="preserve">**Scope:**  </w:t>
      </w:r>
    </w:p>
    <w:p>
      <w:r>
        <w:t>This register applies to all actual, suspected, or potential data breaches involving personal information held by cybersecai Pty Ltd.</w:t>
      </w:r>
    </w:p>
    <w:p>
      <w:r>
        <w:br/>
      </w:r>
    </w:p>
    <w:p>
      <w:pPr>
        <w:pStyle w:val="Heading1"/>
      </w:pPr>
      <w:r>
        <w:t>1. Responsibilities</w:t>
      </w:r>
    </w:p>
    <w:p>
      <w:pPr>
        <w:pStyle w:val="ListBullet"/>
      </w:pPr>
      <w:r>
        <w:rPr>
          <w:b/>
        </w:rPr>
        <w:t>Data Protection Officer (DPO):</w:t>
      </w:r>
    </w:p>
    <w:p>
      <w:r>
        <w:t xml:space="preserve">  Overall responsibility for maintaining the Incident Register, ensuring timely and accurate entries, and overseeing incident management.</w:t>
      </w:r>
    </w:p>
    <w:p>
      <w:pPr>
        <w:pStyle w:val="ListBullet"/>
      </w:pPr>
      <w:r>
        <w:rPr>
          <w:b/>
        </w:rPr>
        <w:t>All Staff:</w:t>
      </w:r>
    </w:p>
    <w:p>
      <w:r>
        <w:t xml:space="preserve">  Must promptly report any suspected or actual data breach to the DPO.</w:t>
      </w:r>
    </w:p>
    <w:p>
      <w:pPr>
        <w:pStyle w:val="ListBullet"/>
      </w:pPr>
      <w:r>
        <w:rPr>
          <w:b/>
        </w:rPr>
        <w:t>IT &amp; Security Teams:</w:t>
      </w:r>
    </w:p>
    <w:p>
      <w:r>
        <w:t xml:space="preserve">  Support investigation, containment, and remediation of incidents.</w:t>
      </w:r>
    </w:p>
    <w:p>
      <w:pPr>
        <w:pStyle w:val="ListBullet"/>
      </w:pPr>
      <w:r>
        <w:rPr>
          <w:b/>
        </w:rPr>
        <w:t>Legal &amp; Compliance:</w:t>
      </w:r>
    </w:p>
    <w:p>
      <w:r>
        <w:t xml:space="preserve">  Advise on regulatory notification requirements and legal risk.</w:t>
      </w:r>
    </w:p>
    <w:p>
      <w:r>
        <w:br/>
      </w:r>
    </w:p>
    <w:p>
      <w:pPr>
        <w:pStyle w:val="Heading1"/>
      </w:pPr>
      <w:r>
        <w:t>2. Incident Register Table</w:t>
      </w:r>
    </w:p>
    <w:tbl>
      <w:tblPr>
        <w:tblStyle w:val="LightGrid-Accent1"/>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t>Incident ID</w:t>
            </w:r>
          </w:p>
        </w:tc>
        <w:tc>
          <w:tcPr>
            <w:tcW w:type="dxa" w:w="576"/>
          </w:tcPr>
          <w:p>
            <w:r>
              <w:t>Date Detected</w:t>
            </w:r>
          </w:p>
        </w:tc>
        <w:tc>
          <w:tcPr>
            <w:tcW w:type="dxa" w:w="576"/>
          </w:tcPr>
          <w:p>
            <w:r>
              <w:t>Reported By</w:t>
            </w:r>
          </w:p>
        </w:tc>
        <w:tc>
          <w:tcPr>
            <w:tcW w:type="dxa" w:w="576"/>
          </w:tcPr>
          <w:p>
            <w:r>
              <w:t>Description of Incident</w:t>
            </w:r>
          </w:p>
        </w:tc>
        <w:tc>
          <w:tcPr>
            <w:tcW w:type="dxa" w:w="576"/>
          </w:tcPr>
          <w:p>
            <w:r>
              <w:t>Type of Breach</w:t>
            </w:r>
          </w:p>
        </w:tc>
        <w:tc>
          <w:tcPr>
            <w:tcW w:type="dxa" w:w="576"/>
          </w:tcPr>
          <w:p>
            <w:r>
              <w:t>Personal Data Involved</w:t>
            </w:r>
          </w:p>
        </w:tc>
        <w:tc>
          <w:tcPr>
            <w:tcW w:type="dxa" w:w="576"/>
          </w:tcPr>
          <w:p>
            <w:r>
              <w:t>Risk Assessment</w:t>
            </w:r>
          </w:p>
        </w:tc>
        <w:tc>
          <w:tcPr>
            <w:tcW w:type="dxa" w:w="576"/>
          </w:tcPr>
          <w:p>
            <w:r>
              <w:t>Containment Actions</w:t>
            </w:r>
          </w:p>
        </w:tc>
        <w:tc>
          <w:tcPr>
            <w:tcW w:type="dxa" w:w="576"/>
          </w:tcPr>
          <w:p>
            <w:r>
              <w:t>Investigation Outcome</w:t>
            </w:r>
          </w:p>
        </w:tc>
        <w:tc>
          <w:tcPr>
            <w:tcW w:type="dxa" w:w="576"/>
          </w:tcPr>
          <w:p>
            <w:r>
              <w:t>Notification Required (Y/N)</w:t>
            </w:r>
          </w:p>
        </w:tc>
        <w:tc>
          <w:tcPr>
            <w:tcW w:type="dxa" w:w="576"/>
          </w:tcPr>
          <w:p>
            <w:r>
              <w:t>OAIC/Individuals Notified (Date)</w:t>
            </w:r>
          </w:p>
        </w:tc>
        <w:tc>
          <w:tcPr>
            <w:tcW w:type="dxa" w:w="576"/>
          </w:tcPr>
          <w:p>
            <w:r>
              <w:t>Remediation Actions</w:t>
            </w:r>
          </w:p>
        </w:tc>
        <w:tc>
          <w:tcPr>
            <w:tcW w:type="dxa" w:w="576"/>
          </w:tcPr>
          <w:p>
            <w:r>
              <w:t>Lessons Learned</w:t>
            </w:r>
          </w:p>
        </w:tc>
        <w:tc>
          <w:tcPr>
            <w:tcW w:type="dxa" w:w="576"/>
          </w:tcPr>
          <w:p>
            <w:r>
              <w:t>Status</w:t>
            </w:r>
          </w:p>
        </w:tc>
        <w:tc>
          <w:tcPr>
            <w:tcW w:type="dxa" w:w="576"/>
          </w:tcPr>
          <w:p>
            <w:r>
              <w:t>Responsible Officer</w:t>
            </w:r>
          </w:p>
        </w:tc>
      </w:tr>
      <w:tr>
        <w:tc>
          <w:tcPr>
            <w:tcW w:type="dxa" w:w="576"/>
          </w:tcPr>
          <w:p>
            <w:r>
              <w:t>2024-001</w:t>
            </w:r>
          </w:p>
        </w:tc>
        <w:tc>
          <w:tcPr>
            <w:tcW w:type="dxa" w:w="576"/>
          </w:tcPr>
          <w:p>
            <w:r>
              <w:t>2024-06-15</w:t>
            </w:r>
          </w:p>
        </w:tc>
        <w:tc>
          <w:tcPr>
            <w:tcW w:type="dxa" w:w="576"/>
          </w:tcPr>
          <w:p>
            <w:r>
              <w:t>IT Security Analyst</w:t>
            </w:r>
          </w:p>
        </w:tc>
        <w:tc>
          <w:tcPr>
            <w:tcW w:type="dxa" w:w="576"/>
          </w:tcPr>
          <w:p>
            <w:r>
              <w:t>Unauthorized access to M365 files containing regulated personal and financial data.</w:t>
            </w:r>
          </w:p>
        </w:tc>
        <w:tc>
          <w:tcPr>
            <w:tcW w:type="dxa" w:w="576"/>
          </w:tcPr>
          <w:p>
            <w:r>
              <w:t>Confidentiality</w:t>
            </w:r>
          </w:p>
        </w:tc>
        <w:tc>
          <w:tcPr>
            <w:tcW w:type="dxa" w:w="576"/>
          </w:tcPr>
          <w:p>
            <w:r>
              <w:t>Full Name, Address, Date of Birth, Email Address, Bank Account Number, Financial Account, Australian Business Number (as per GDPR, Australian Privacy Act, PCI DSS)</w:t>
            </w:r>
          </w:p>
        </w:tc>
        <w:tc>
          <w:tcPr>
            <w:tcW w:type="dxa" w:w="576"/>
          </w:tcPr>
          <w:p>
            <w:r>
              <w:t>High (Multiple high-risk regulated fields detected; see cybersecai.io platform analysis)</w:t>
            </w:r>
          </w:p>
        </w:tc>
        <w:tc>
          <w:tcPr>
            <w:tcW w:type="dxa" w:w="576"/>
          </w:tcPr>
          <w:p>
            <w:r>
              <w:t>Immediate account lockdown, file quarantine initiated</w:t>
            </w:r>
          </w:p>
        </w:tc>
        <w:tc>
          <w:tcPr>
            <w:tcW w:type="dxa" w:w="576"/>
          </w:tcPr>
          <w:p>
            <w:r>
              <w:t>Breach confirmed; unauthorized access to files with sensitive data</w:t>
            </w:r>
          </w:p>
        </w:tc>
        <w:tc>
          <w:tcPr>
            <w:tcW w:type="dxa" w:w="576"/>
          </w:tcPr>
          <w:p>
            <w:r>
              <w:t>Y</w:t>
            </w:r>
          </w:p>
        </w:tc>
        <w:tc>
          <w:tcPr>
            <w:tcW w:type="dxa" w:w="576"/>
          </w:tcPr>
          <w:p>
            <w:r>
              <w:t>OAIC &amp; affected individuals notified (2024-06-16)</w:t>
            </w:r>
          </w:p>
        </w:tc>
        <w:tc>
          <w:tcPr>
            <w:tcW w:type="dxa" w:w="576"/>
          </w:tcPr>
          <w:p>
            <w:r>
              <w:t>Enhanced access controls, password reset, user awareness training</w:t>
            </w:r>
          </w:p>
        </w:tc>
        <w:tc>
          <w:tcPr>
            <w:tcW w:type="dxa" w:w="576"/>
          </w:tcPr>
          <w:p>
            <w:r>
              <w:t>Need for improved monitoring and rapid file quarantine</w:t>
            </w:r>
          </w:p>
        </w:tc>
        <w:tc>
          <w:tcPr>
            <w:tcW w:type="dxa" w:w="576"/>
          </w:tcPr>
          <w:p>
            <w:r>
              <w:t>Closed</w:t>
            </w:r>
          </w:p>
        </w:tc>
        <w:tc>
          <w:tcPr>
            <w:tcW w:type="dxa" w:w="576"/>
          </w:tcPr>
          <w:p>
            <w:r>
              <w:t>Data Protection Officer</w:t>
            </w:r>
          </w:p>
        </w:tc>
      </w:tr>
      <w:tr>
        <w:tc>
          <w:tcPr>
            <w:tcW w:type="dxa" w:w="576"/>
          </w:tcPr>
          <w:p>
            <w:r>
              <w:t>2024-002</w:t>
            </w:r>
          </w:p>
        </w:tc>
        <w:tc>
          <w:tcPr>
            <w:tcW w:type="dxa" w:w="576"/>
          </w:tcPr>
          <w:p>
            <w:r>
              <w:t>2024-06-16</w:t>
            </w:r>
          </w:p>
        </w:tc>
        <w:tc>
          <w:tcPr>
            <w:tcW w:type="dxa" w:w="576"/>
          </w:tcPr>
          <w:p>
            <w:r>
              <w:t>Compliance Officer</w:t>
            </w:r>
          </w:p>
        </w:tc>
        <w:tc>
          <w:tcPr>
            <w:tcW w:type="dxa" w:w="576"/>
          </w:tcPr>
          <w:p>
            <w:r>
              <w:t>Exposure of files containing driver’s license numbers and tax file numbers via shared M365 links.</w:t>
            </w:r>
          </w:p>
        </w:tc>
        <w:tc>
          <w:tcPr>
            <w:tcW w:type="dxa" w:w="576"/>
          </w:tcPr>
          <w:p>
            <w:r>
              <w:t>Confidentiality</w:t>
            </w:r>
          </w:p>
        </w:tc>
        <w:tc>
          <w:tcPr>
            <w:tcW w:type="dxa" w:w="576"/>
          </w:tcPr>
          <w:p>
            <w:r>
              <w:t>Full Name, Email Address, Driver’s License Number, Tax File Number (GDPR, Australian Privacy Act)</w:t>
            </w:r>
          </w:p>
        </w:tc>
        <w:tc>
          <w:tcPr>
            <w:tcW w:type="dxa" w:w="576"/>
          </w:tcPr>
          <w:p>
            <w:r>
              <w:t>High (Sensitive identifiers exposed; see cybersecai.io platform)</w:t>
            </w:r>
          </w:p>
        </w:tc>
        <w:tc>
          <w:tcPr>
            <w:tcW w:type="dxa" w:w="576"/>
          </w:tcPr>
          <w:p>
            <w:r>
              <w:t>Shared links revoked, files quarantined</w:t>
            </w:r>
          </w:p>
        </w:tc>
        <w:tc>
          <w:tcPr>
            <w:tcW w:type="dxa" w:w="576"/>
          </w:tcPr>
          <w:p>
            <w:r>
              <w:t>Breach confirmed; external access detected</w:t>
            </w:r>
          </w:p>
        </w:tc>
        <w:tc>
          <w:tcPr>
            <w:tcW w:type="dxa" w:w="576"/>
          </w:tcPr>
          <w:p>
            <w:r>
              <w:t>Y</w:t>
            </w:r>
          </w:p>
        </w:tc>
        <w:tc>
          <w:tcPr>
            <w:tcW w:type="dxa" w:w="576"/>
          </w:tcPr>
          <w:p>
            <w:r>
              <w:t>OAIC &amp; affected individuals notified (2024-06-17)</w:t>
            </w:r>
          </w:p>
        </w:tc>
        <w:tc>
          <w:tcPr>
            <w:tcW w:type="dxa" w:w="576"/>
          </w:tcPr>
          <w:p>
            <w:r>
              <w:t>Implemented stricter sharing policies, user training</w:t>
            </w:r>
          </w:p>
        </w:tc>
        <w:tc>
          <w:tcPr>
            <w:tcW w:type="dxa" w:w="576"/>
          </w:tcPr>
          <w:p>
            <w:r>
              <w:t>Reinforce controls on external file sharing</w:t>
            </w:r>
          </w:p>
        </w:tc>
        <w:tc>
          <w:tcPr>
            <w:tcW w:type="dxa" w:w="576"/>
          </w:tcPr>
          <w:p>
            <w:r>
              <w:t>Closed</w:t>
            </w:r>
          </w:p>
        </w:tc>
        <w:tc>
          <w:tcPr>
            <w:tcW w:type="dxa" w:w="576"/>
          </w:tcPr>
          <w:p>
            <w:r>
              <w:t>Data Protection Officer</w:t>
            </w:r>
          </w:p>
        </w:tc>
      </w:tr>
      <w:tr>
        <w:tc>
          <w:tcPr>
            <w:tcW w:type="dxa" w:w="576"/>
          </w:tcPr>
          <w:p>
            <w:r>
              <w:t>2024-003</w:t>
            </w:r>
          </w:p>
        </w:tc>
        <w:tc>
          <w:tcPr>
            <w:tcW w:type="dxa" w:w="576"/>
          </w:tcPr>
          <w:p>
            <w:r>
              <w:t>2024-06-17</w:t>
            </w:r>
          </w:p>
        </w:tc>
        <w:tc>
          <w:tcPr>
            <w:tcW w:type="dxa" w:w="576"/>
          </w:tcPr>
          <w:p>
            <w:r>
              <w:t>Security Operations</w:t>
            </w:r>
          </w:p>
        </w:tc>
        <w:tc>
          <w:tcPr>
            <w:tcW w:type="dxa" w:w="576"/>
          </w:tcPr>
          <w:p>
            <w:r>
              <w:t>Detection of document containing login credentials, payment card data, and personal identifiers in M365.</w:t>
            </w:r>
          </w:p>
        </w:tc>
        <w:tc>
          <w:tcPr>
            <w:tcW w:type="dxa" w:w="576"/>
          </w:tcPr>
          <w:p>
            <w:r>
              <w:t>Confidentiality, Integrity</w:t>
            </w:r>
          </w:p>
        </w:tc>
        <w:tc>
          <w:tcPr>
            <w:tcW w:type="dxa" w:w="576"/>
          </w:tcPr>
          <w:p>
            <w:r>
              <w:t>Full Name, Date of Birth, Address, Email Address, Phone Number, Login Credentials, Credit Card Number, Tax ID (GDPR, Australian Privacy Act, PCI DSS)</w:t>
            </w:r>
          </w:p>
        </w:tc>
        <w:tc>
          <w:tcPr>
            <w:tcW w:type="dxa" w:w="576"/>
          </w:tcPr>
          <w:p>
            <w:r>
              <w:t>High (Payment card and authentication data exposed; cybersecai.io risk rating)</w:t>
            </w:r>
          </w:p>
        </w:tc>
        <w:tc>
          <w:tcPr>
            <w:tcW w:type="dxa" w:w="576"/>
          </w:tcPr>
          <w:p>
            <w:r>
              <w:t>File quarantined, credentials reset, card issuer notified</w:t>
            </w:r>
          </w:p>
        </w:tc>
        <w:tc>
          <w:tcPr>
            <w:tcW w:type="dxa" w:w="576"/>
          </w:tcPr>
          <w:p>
            <w:r>
              <w:t>Breach confirmed; file contained live credentials and card data</w:t>
            </w:r>
          </w:p>
        </w:tc>
        <w:tc>
          <w:tcPr>
            <w:tcW w:type="dxa" w:w="576"/>
          </w:tcPr>
          <w:p>
            <w:r>
              <w:t>Y</w:t>
            </w:r>
          </w:p>
        </w:tc>
        <w:tc>
          <w:tcPr>
            <w:tcW w:type="dxa" w:w="576"/>
          </w:tcPr>
          <w:p>
            <w:r>
              <w:t>OAIC &amp; affected individuals notified (2024-06-18)</w:t>
            </w:r>
          </w:p>
        </w:tc>
        <w:tc>
          <w:tcPr>
            <w:tcW w:type="dxa" w:w="576"/>
          </w:tcPr>
          <w:p>
            <w:r>
              <w:t>Rolled out MFA, restricted storage of card data, credential rotation</w:t>
            </w:r>
          </w:p>
        </w:tc>
        <w:tc>
          <w:tcPr>
            <w:tcW w:type="dxa" w:w="576"/>
          </w:tcPr>
          <w:p>
            <w:r>
              <w:t>Do not store payment/authentication data in shared drives</w:t>
            </w:r>
          </w:p>
        </w:tc>
        <w:tc>
          <w:tcPr>
            <w:tcW w:type="dxa" w:w="576"/>
          </w:tcPr>
          <w:p>
            <w:r>
              <w:t>Closed</w:t>
            </w:r>
          </w:p>
        </w:tc>
        <w:tc>
          <w:tcPr>
            <w:tcW w:type="dxa" w:w="576"/>
          </w:tcPr>
          <w:p>
            <w:r>
              <w:t>Data Protection Officer</w:t>
            </w:r>
          </w:p>
        </w:tc>
      </w:tr>
      <w:tr>
        <w:tc>
          <w:tcPr>
            <w:tcW w:type="dxa" w:w="576"/>
          </w:tcPr>
          <w:p>
            <w:r>
              <w:t>2024-004</w:t>
            </w:r>
          </w:p>
        </w:tc>
        <w:tc>
          <w:tcPr>
            <w:tcW w:type="dxa" w:w="576"/>
          </w:tcPr>
          <w:p>
            <w:r>
              <w:t>2024-06-18</w:t>
            </w:r>
          </w:p>
        </w:tc>
        <w:tc>
          <w:tcPr>
            <w:tcW w:type="dxa" w:w="576"/>
          </w:tcPr>
          <w:p>
            <w:r>
              <w:t>IT Administrator</w:t>
            </w:r>
          </w:p>
        </w:tc>
        <w:tc>
          <w:tcPr>
            <w:tcW w:type="dxa" w:w="576"/>
          </w:tcPr>
          <w:p>
            <w:r>
              <w:t>Email and phone numbers, login credentials, and device IDs found in exposed documentation.</w:t>
            </w:r>
          </w:p>
        </w:tc>
        <w:tc>
          <w:tcPr>
            <w:tcW w:type="dxa" w:w="576"/>
          </w:tcPr>
          <w:p>
            <w:r>
              <w:t>Confidentiality</w:t>
            </w:r>
          </w:p>
        </w:tc>
        <w:tc>
          <w:tcPr>
            <w:tcW w:type="dxa" w:w="576"/>
          </w:tcPr>
          <w:p>
            <w:r>
              <w:t>Email Address, Phone Number, Login Credentials, Device ID (GDPR, Australian Privacy Act, PCI DSS)</w:t>
            </w:r>
          </w:p>
        </w:tc>
        <w:tc>
          <w:tcPr>
            <w:tcW w:type="dxa" w:w="576"/>
          </w:tcPr>
          <w:p>
            <w:r>
              <w:t>High (Direct contact and authentication data; cybersecai.io)</w:t>
            </w:r>
          </w:p>
        </w:tc>
        <w:tc>
          <w:tcPr>
            <w:tcW w:type="dxa" w:w="576"/>
          </w:tcPr>
          <w:p>
            <w:r>
              <w:t>File access restricted, credentials reset</w:t>
            </w:r>
          </w:p>
        </w:tc>
        <w:tc>
          <w:tcPr>
            <w:tcW w:type="dxa" w:w="576"/>
          </w:tcPr>
          <w:p>
            <w:r>
              <w:t>Breach confirmed; exposure limited to internal staff</w:t>
            </w:r>
          </w:p>
        </w:tc>
        <w:tc>
          <w:tcPr>
            <w:tcW w:type="dxa" w:w="576"/>
          </w:tcPr>
          <w:p>
            <w:r>
              <w:t>N</w:t>
            </w:r>
          </w:p>
        </w:tc>
        <w:tc>
          <w:tcPr>
            <w:tcW w:type="dxa" w:w="576"/>
          </w:tcPr>
          <w:p>
            <w:r>
              <w:t>N/A</w:t>
            </w:r>
          </w:p>
        </w:tc>
        <w:tc>
          <w:tcPr>
            <w:tcW w:type="dxa" w:w="576"/>
          </w:tcPr>
          <w:p>
            <w:r>
              <w:t>Internal awareness campaign, device registration policy update</w:t>
            </w:r>
          </w:p>
        </w:tc>
        <w:tc>
          <w:tcPr>
            <w:tcW w:type="dxa" w:w="576"/>
          </w:tcPr>
          <w:p>
            <w:r>
              <w:t>Review device registration and authentication procedures</w:t>
            </w:r>
          </w:p>
        </w:tc>
        <w:tc>
          <w:tcPr>
            <w:tcW w:type="dxa" w:w="576"/>
          </w:tcPr>
          <w:p>
            <w:r>
              <w:t>Closed</w:t>
            </w:r>
          </w:p>
        </w:tc>
        <w:tc>
          <w:tcPr>
            <w:tcW w:type="dxa" w:w="576"/>
          </w:tcPr>
          <w:p>
            <w:r>
              <w:t>Data Protection Officer</w:t>
            </w:r>
          </w:p>
        </w:tc>
      </w:tr>
      <w:tr>
        <w:tc>
          <w:tcPr>
            <w:tcW w:type="dxa" w:w="576"/>
          </w:tcPr>
          <w:p>
            <w:r>
              <w:t>2024-005</w:t>
            </w:r>
          </w:p>
        </w:tc>
        <w:tc>
          <w:tcPr>
            <w:tcW w:type="dxa" w:w="576"/>
          </w:tcPr>
          <w:p>
            <w:r>
              <w:t>2024-06-18</w:t>
            </w:r>
          </w:p>
        </w:tc>
        <w:tc>
          <w:tcPr>
            <w:tcW w:type="dxa" w:w="576"/>
          </w:tcPr>
          <w:p>
            <w:r>
              <w:t>Finance Manager</w:t>
            </w:r>
          </w:p>
        </w:tc>
        <w:tc>
          <w:tcPr>
            <w:tcW w:type="dxa" w:w="576"/>
          </w:tcPr>
          <w:p>
            <w:r>
              <w:t>Credit card numbers, login credentials, and customer photos present in transaction records.</w:t>
            </w:r>
          </w:p>
        </w:tc>
        <w:tc>
          <w:tcPr>
            <w:tcW w:type="dxa" w:w="576"/>
          </w:tcPr>
          <w:p>
            <w:r>
              <w:t>Confidentiality</w:t>
            </w:r>
          </w:p>
        </w:tc>
        <w:tc>
          <w:tcPr>
            <w:tcW w:type="dxa" w:w="576"/>
          </w:tcPr>
          <w:p>
            <w:r>
              <w:t>Credit Card Number, Full Name, Email Address, Tax ID, Login Credentials, Customer Photos (GDPR, Australian Privacy Act, PCI DSS)</w:t>
            </w:r>
          </w:p>
        </w:tc>
        <w:tc>
          <w:tcPr>
            <w:tcW w:type="dxa" w:w="576"/>
          </w:tcPr>
          <w:p>
            <w:r>
              <w:t>High (Sensitive payment and ID data; cybersecai.io)</w:t>
            </w:r>
          </w:p>
        </w:tc>
        <w:tc>
          <w:tcPr>
            <w:tcW w:type="dxa" w:w="576"/>
          </w:tcPr>
          <w:p>
            <w:r>
              <w:t>Files quarantined, payment processor notified</w:t>
            </w:r>
          </w:p>
        </w:tc>
        <w:tc>
          <w:tcPr>
            <w:tcW w:type="dxa" w:w="576"/>
          </w:tcPr>
          <w:p>
            <w:r>
              <w:t>Breach confirmed; no evidence of external exfiltration</w:t>
            </w:r>
          </w:p>
        </w:tc>
        <w:tc>
          <w:tcPr>
            <w:tcW w:type="dxa" w:w="576"/>
          </w:tcPr>
          <w:p>
            <w:r>
              <w:t>Y</w:t>
            </w:r>
          </w:p>
        </w:tc>
        <w:tc>
          <w:tcPr>
            <w:tcW w:type="dxa" w:w="576"/>
          </w:tcPr>
          <w:p>
            <w:r>
              <w:t>OAIC &amp; affected individuals notified (2024-06-19)</w:t>
            </w:r>
          </w:p>
        </w:tc>
        <w:tc>
          <w:tcPr>
            <w:tcW w:type="dxa" w:w="576"/>
          </w:tcPr>
          <w:p>
            <w:r>
              <w:t>Payment data segregation, restricted access, staff retraining</w:t>
            </w:r>
          </w:p>
        </w:tc>
        <w:tc>
          <w:tcPr>
            <w:tcW w:type="dxa" w:w="576"/>
          </w:tcPr>
          <w:p>
            <w:r>
              <w:t>Segregate payment data, limit access by role</w:t>
            </w:r>
          </w:p>
        </w:tc>
        <w:tc>
          <w:tcPr>
            <w:tcW w:type="dxa" w:w="576"/>
          </w:tcPr>
          <w:p>
            <w:r>
              <w:t>Closed</w:t>
            </w:r>
          </w:p>
        </w:tc>
        <w:tc>
          <w:tcPr>
            <w:tcW w:type="dxa" w:w="576"/>
          </w:tcPr>
          <w:p>
            <w:r>
              <w:t>Data Protection Officer</w:t>
            </w:r>
          </w:p>
        </w:tc>
      </w:tr>
      <w:tr>
        <w:tc>
          <w:tcPr>
            <w:tcW w:type="dxa" w:w="576"/>
          </w:tcPr>
          <w:p>
            <w:r>
              <w:t>2024-006</w:t>
            </w:r>
          </w:p>
        </w:tc>
        <w:tc>
          <w:tcPr>
            <w:tcW w:type="dxa" w:w="576"/>
          </w:tcPr>
          <w:p>
            <w:r>
              <w:t>2024-06-19</w:t>
            </w:r>
          </w:p>
        </w:tc>
        <w:tc>
          <w:tcPr>
            <w:tcW w:type="dxa" w:w="576"/>
          </w:tcPr>
          <w:p>
            <w:r>
              <w:t>HR Officer</w:t>
            </w:r>
          </w:p>
        </w:tc>
        <w:tc>
          <w:tcPr>
            <w:tcW w:type="dxa" w:w="576"/>
          </w:tcPr>
          <w:p>
            <w:r>
              <w:t>SMB share containing date of birth, Medicare number, and tax file number discovered unsecured.</w:t>
            </w:r>
          </w:p>
        </w:tc>
        <w:tc>
          <w:tcPr>
            <w:tcW w:type="dxa" w:w="576"/>
          </w:tcPr>
          <w:p>
            <w:r>
              <w:t>Confidentiality</w:t>
            </w:r>
          </w:p>
        </w:tc>
        <w:tc>
          <w:tcPr>
            <w:tcW w:type="dxa" w:w="576"/>
          </w:tcPr>
          <w:p>
            <w:r>
              <w:t>Date of Birth, Medicare Number, Tax File Number (Australian Privacy Act, GDPR)</w:t>
            </w:r>
          </w:p>
        </w:tc>
        <w:tc>
          <w:tcPr>
            <w:tcW w:type="dxa" w:w="576"/>
          </w:tcPr>
          <w:p>
            <w:r>
              <w:t>High (Medicare and TFN highly sensitive; cybersecai.io)</w:t>
            </w:r>
          </w:p>
        </w:tc>
        <w:tc>
          <w:tcPr>
            <w:tcW w:type="dxa" w:w="576"/>
          </w:tcPr>
          <w:p>
            <w:r>
              <w:t>SMB share access revoked, files quarantined</w:t>
            </w:r>
          </w:p>
        </w:tc>
        <w:tc>
          <w:tcPr>
            <w:tcW w:type="dxa" w:w="576"/>
          </w:tcPr>
          <w:p>
            <w:r>
              <w:t>Breach confirmed; internal access only</w:t>
            </w:r>
          </w:p>
        </w:tc>
        <w:tc>
          <w:tcPr>
            <w:tcW w:type="dxa" w:w="576"/>
          </w:tcPr>
          <w:p>
            <w:r>
              <w:t>N</w:t>
            </w:r>
          </w:p>
        </w:tc>
        <w:tc>
          <w:tcPr>
            <w:tcW w:type="dxa" w:w="576"/>
          </w:tcPr>
          <w:p>
            <w:r>
              <w:t>N/A</w:t>
            </w:r>
          </w:p>
        </w:tc>
        <w:tc>
          <w:tcPr>
            <w:tcW w:type="dxa" w:w="576"/>
          </w:tcPr>
          <w:p>
            <w:r>
              <w:t>Review and restrict SMB share permissions, staff training</w:t>
            </w:r>
          </w:p>
        </w:tc>
        <w:tc>
          <w:tcPr>
            <w:tcW w:type="dxa" w:w="576"/>
          </w:tcPr>
          <w:p>
            <w:r>
              <w:t>Regular audits of SMB shares for sensitive data</w:t>
            </w:r>
          </w:p>
        </w:tc>
        <w:tc>
          <w:tcPr>
            <w:tcW w:type="dxa" w:w="576"/>
          </w:tcPr>
          <w:p>
            <w:r>
              <w:t>Closed</w:t>
            </w:r>
          </w:p>
        </w:tc>
        <w:tc>
          <w:tcPr>
            <w:tcW w:type="dxa" w:w="576"/>
          </w:tcPr>
          <w:p>
            <w:r>
              <w:t>Data Protection Officer</w:t>
            </w:r>
          </w:p>
        </w:tc>
      </w:tr>
    </w:tbl>
    <w:p>
      <w:r>
        <w:t>**Guidance for Completion:**</w:t>
      </w:r>
    </w:p>
    <w:p>
      <w:pPr>
        <w:pStyle w:val="ListBullet"/>
      </w:pPr>
      <w:r>
        <w:t>**Incident ID:** Unique sequential identifier.</w:t>
      </w:r>
    </w:p>
    <w:p>
      <w:pPr>
        <w:pStyle w:val="ListBullet"/>
      </w:pPr>
      <w:r>
        <w:t>**Date Detected:** Date incident was discovered.</w:t>
      </w:r>
    </w:p>
    <w:p>
      <w:pPr>
        <w:pStyle w:val="ListBullet"/>
      </w:pPr>
      <w:r>
        <w:t>**Reported By:** Name/role of reporting individual.</w:t>
      </w:r>
    </w:p>
    <w:p>
      <w:pPr>
        <w:pStyle w:val="ListBullet"/>
      </w:pPr>
      <w:r>
        <w:t>**Description of Incident:** Factual summary (e.g., unauthorised access, loss of device).</w:t>
      </w:r>
    </w:p>
    <w:p>
      <w:pPr>
        <w:pStyle w:val="ListBullet"/>
      </w:pPr>
      <w:r>
        <w:t>**Type of Breach:** Confidentiality, integrity, or availability.</w:t>
      </w:r>
    </w:p>
    <w:p>
      <w:pPr>
        <w:pStyle w:val="ListBullet"/>
      </w:pPr>
      <w:r>
        <w:t>**Personal Data Involved:** Categories and volume of data affected.</w:t>
      </w:r>
    </w:p>
    <w:p>
      <w:pPr>
        <w:pStyle w:val="ListBullet"/>
      </w:pPr>
      <w:r>
        <w:t>**Risk Assessment:** Summary of potential harm (refer to OAIC guidance).</w:t>
      </w:r>
    </w:p>
    <w:p>
      <w:pPr>
        <w:pStyle w:val="ListBullet"/>
      </w:pPr>
      <w:r>
        <w:t>**Containment Actions:** Immediate steps taken to limit impact.</w:t>
      </w:r>
    </w:p>
    <w:p>
      <w:pPr>
        <w:pStyle w:val="ListBullet"/>
      </w:pPr>
      <w:r>
        <w:t>**Investigation Outcome:** Findings, root cause, and whether breach is confirmed.</w:t>
      </w:r>
    </w:p>
    <w:p>
      <w:pPr>
        <w:pStyle w:val="ListBullet"/>
      </w:pPr>
      <w:r>
        <w:t>**Notification Required:** Whether notification to OAIC/affected individuals is required under the NDB scheme.</w:t>
      </w:r>
    </w:p>
    <w:p>
      <w:pPr>
        <w:pStyle w:val="ListBullet"/>
      </w:pPr>
      <w:r>
        <w:t>**OAIC/Individuals Notified (Date):** Record of notifications made and dates.</w:t>
      </w:r>
    </w:p>
    <w:p>
      <w:pPr>
        <w:pStyle w:val="ListBullet"/>
      </w:pPr>
      <w:r>
        <w:t>**Remediation Actions:** Steps taken to prevent recurrence.</w:t>
      </w:r>
    </w:p>
    <w:p>
      <w:pPr>
        <w:pStyle w:val="ListBullet"/>
      </w:pPr>
      <w:r>
        <w:t>**Lessons Learned:** Key takeaways for future prevention.</w:t>
      </w:r>
    </w:p>
    <w:p>
      <w:pPr>
        <w:pStyle w:val="ListBullet"/>
      </w:pPr>
      <w:r>
        <w:t>**Status:** Open/Closed.</w:t>
      </w:r>
    </w:p>
    <w:p>
      <w:pPr>
        <w:pStyle w:val="ListBullet"/>
      </w:pPr>
      <w:r>
        <w:t>**Responsible Officer:** Name/role overseeing resolution.</w:t>
      </w:r>
    </w:p>
    <w:p>
      <w:r>
        <w:t>*Data source: All incident risk assessments and sensitive data field identifications are based on automated analysis and auditor review from the cybersecai.io platform.*</w:t>
      </w:r>
    </w:p>
    <w:p>
      <w:r>
        <w:br/>
      </w:r>
    </w:p>
    <w:p>
      <w:pPr>
        <w:pStyle w:val="Heading1"/>
      </w:pPr>
      <w:r>
        <w:t>3. Action Steps</w:t>
      </w:r>
    </w:p>
    <w:p>
      <w:pPr>
        <w:pStyle w:val="ListNumber"/>
      </w:pPr>
      <w:r>
        <w:t>**Immediate Reporting:**</w:t>
      </w:r>
    </w:p>
    <w:p>
      <w:r>
        <w:t xml:space="preserve">   All staff must report suspected or actual data breaches to the DPO without delay.</w:t>
      </w:r>
    </w:p>
    <w:p>
      <w:pPr>
        <w:pStyle w:val="ListNumber"/>
      </w:pPr>
      <w:r>
        <w:t>**Initial Assessment:**</w:t>
      </w:r>
    </w:p>
    <w:p>
      <w:r>
        <w:t xml:space="preserve">   DPO to assess the incident within 24 hours, determine if a data breach has occurred, and initiate containment.</w:t>
      </w:r>
    </w:p>
    <w:p>
      <w:pPr>
        <w:pStyle w:val="ListNumber"/>
      </w:pPr>
      <w:r>
        <w:t>**Investigation:**</w:t>
      </w:r>
    </w:p>
    <w:p>
      <w:r>
        <w:t xml:space="preserve">   DPO, with IT and Legal support, to investigate the breach, assess risks, and document findings in the Register.</w:t>
      </w:r>
    </w:p>
    <w:p>
      <w:pPr>
        <w:pStyle w:val="ListNumber"/>
      </w:pPr>
      <w:r>
        <w:t>**Notification Decision:**</w:t>
      </w:r>
    </w:p>
    <w:p>
      <w:r>
        <w:t xml:space="preserve">   DPO, in consultation with Legal, to determine if notification to OAIC and/or affected individuals is required under the NDB scheme (Privacy Act s 26WK).</w:t>
      </w:r>
    </w:p>
    <w:p>
      <w:pPr>
        <w:pStyle w:val="ListNumber"/>
      </w:pPr>
      <w:r>
        <w:t>**Remediation:**</w:t>
      </w:r>
    </w:p>
    <w:p>
      <w:r>
        <w:t xml:space="preserve">   Implement corrective actions and document in the Register.</w:t>
      </w:r>
    </w:p>
    <w:p>
      <w:pPr>
        <w:pStyle w:val="ListNumber"/>
      </w:pPr>
      <w:r>
        <w:t>**Closure and Review:**</w:t>
      </w:r>
    </w:p>
    <w:p>
      <w:r>
        <w:t xml:space="preserve">   DPO to close the incident in the Register once all actions are complete and lessons learned are recorded.</w:t>
      </w:r>
    </w:p>
    <w:p>
      <w:r>
        <w:br/>
      </w:r>
    </w:p>
    <w:p>
      <w:pPr>
        <w:pStyle w:val="Heading1"/>
      </w:pPr>
      <w:r>
        <w:t>4. Regulatory Cross-References</w:t>
      </w:r>
    </w:p>
    <w:p>
      <w:pPr>
        <w:pStyle w:val="ListBullet"/>
      </w:pPr>
      <w:r>
        <w:rPr>
          <w:b/>
        </w:rPr>
        <w:t>Privacy Act 1988 (Cth), Part IIIC (Notifiable Data Breaches scheme)</w:t>
      </w:r>
    </w:p>
    <w:p>
      <w:pPr>
        <w:pStyle w:val="ListBullet"/>
      </w:pPr>
      <w:r>
        <w:rPr>
          <w:b/>
        </w:rPr>
        <w:t>OAIC Data Breach Preparation and Response Guide</w:t>
      </w:r>
    </w:p>
    <w:p>
      <w:pPr>
        <w:pStyle w:val="ListBullet"/>
      </w:pPr>
      <w:r>
        <w:rPr>
          <w:b/>
        </w:rPr>
        <w:t>OAIC Guide to Securing Personal Information</w:t>
      </w:r>
    </w:p>
    <w:p>
      <w:pPr>
        <w:pStyle w:val="ListBullet"/>
      </w:pPr>
      <w:r>
        <w:rPr>
          <w:b/>
        </w:rPr>
        <w:t>GDPR (EU General Data Protection Regulation)</w:t>
      </w:r>
    </w:p>
    <w:p>
      <w:pPr>
        <w:pStyle w:val="ListBullet"/>
      </w:pPr>
      <w:r>
        <w:rPr>
          <w:b/>
        </w:rPr>
        <w:t>PCI DSS (Payment Card Industry Data Security Standard)</w:t>
      </w:r>
    </w:p>
    <w:p>
      <w:r>
        <w:br/>
      </w:r>
    </w:p>
    <w:p>
      <w:pPr>
        <w:pStyle w:val="Heading1"/>
      </w:pPr>
      <w:r>
        <w:t>5. Review and Maintenance</w:t>
      </w:r>
    </w:p>
    <w:p>
      <w:pPr>
        <w:pStyle w:val="ListBullet"/>
      </w:pPr>
      <w:r>
        <w:t>The Incident Register must be reviewed quarterly by the DPO for completeness and trends.</w:t>
      </w:r>
    </w:p>
    <w:p>
      <w:pPr>
        <w:pStyle w:val="ListBullet"/>
      </w:pPr>
      <w:r>
        <w:t>Retain records for a minimum of 7 years from closure of each incident.</w:t>
      </w:r>
    </w:p>
    <w:p>
      <w:r>
        <w:br/>
      </w:r>
    </w:p>
    <w:p>
      <w:r>
        <w:t>*This register is maintained in accordance with best practice and supports cybersecai Pty Ltd’s compliance with Australian privacy law, GDPR, PCI DSS, and OAIC guidance. All risk ratings and data field identifications are sourced from the cybersecai.io platform’s automated and auditor-driven assessments. For legal advice on specific incidents, consult the Legal &amp; Compliance team.*</w:t>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