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Incident Reporting Procedure – Data Breach</w:t>
      </w:r>
    </w:p>
    <w:p>
      <w:r>
        <w:t xml:space="preserve">**Effective Date:** [Insert Date]  </w:t>
      </w:r>
    </w:p>
    <w:p>
      <w:r>
        <w:t xml:space="preserve">**Approved By:** [Insert Authority]  </w:t>
      </w:r>
    </w:p>
    <w:p>
      <w:r>
        <w:t xml:space="preserve">**Review Cycle:** Annual or as required by law  </w:t>
      </w:r>
    </w:p>
    <w:p>
      <w:r>
        <w:t>**Regulatory Reference:** PIPEDA, s.10.1(3), GDPR, Australian Privacy Act, CCPA/CPRA, PCI DSS</w:t>
      </w:r>
    </w:p>
    <w:p>
      <w:r>
        <w:br/>
      </w:r>
    </w:p>
    <w:p>
      <w:pPr>
        <w:pStyle w:val="Heading2"/>
      </w:pPr>
      <w:r>
        <w:t>1. Purpose</w:t>
      </w:r>
    </w:p>
    <w:p>
      <w:r>
        <w:t>This Procedure establishes mandatory steps for all Oakville HealthCare Provider (“OHP”) employees and contractors to report suspected or confirmed data breaches internally, in compliance with the Personal Information Protection and Electronic Documents Act (“PIPEDA”), section 10.1(3), and other applicable global privacy regulations. Timely reporting ensures appropriate escalation, containment, investigation, and regulatory notification as required by law.</w:t>
      </w:r>
    </w:p>
    <w:p>
      <w:pPr>
        <w:jc w:val="left"/>
      </w:pPr>
      <w:r>
        <w:rPr>
          <w:i/>
        </w:rPr>
        <w:t>**Expert Note:**</w:t>
      </w:r>
    </w:p>
    <w:p>
      <w:pPr>
        <w:jc w:val="left"/>
      </w:pPr>
      <w:r>
        <w:rPr>
          <w:i/>
        </w:rPr>
        <w:t>Based on recent data mapping and risk assessments via the cybersecai.io platform, OHP processes highly sensitive personal data regulated under GDPR (EU/EEA), the Australian Privacy Act, CCPA/CPRA (California), and PCI DSS. These include, but are not limited to, full names, dates of birth, addresses, driver’s license numbers, tax IDs, email addresses, phone numbers, financial account and cardholder data, and login credentials. The overall risk rating is **High** due to the sensitivity and regulatory coverage of these fields.</w:t>
      </w:r>
    </w:p>
    <w:p>
      <w:pPr>
        <w:jc w:val="left"/>
      </w:pPr>
      <w:r>
        <w:rPr>
          <w:i/>
        </w:rPr>
        <w:t>_Source: cybersecai.io platform, AWS S3 and M365 data risk analysis._</w:t>
      </w:r>
    </w:p>
    <w:p>
      <w:r>
        <w:br/>
      </w:r>
    </w:p>
    <w:p>
      <w:pPr>
        <w:pStyle w:val="Heading2"/>
      </w:pPr>
      <w:r>
        <w:t>2. Scope</w:t>
      </w:r>
    </w:p>
    <w:p>
      <w:r>
        <w:t>This Procedure applies to all OHP personnel, including employees, contractors, volunteers, and any individual with access to OHP’s personal information holdings, including regulated data as identified in cybersecai.io’s latest audit.</w:t>
      </w:r>
    </w:p>
    <w:p>
      <w:r>
        <w:br/>
      </w:r>
    </w:p>
    <w:p>
      <w:pPr>
        <w:pStyle w:val="Heading2"/>
      </w:pPr>
      <w:r>
        <w:t>3. Definitions</w:t>
      </w:r>
    </w:p>
    <w:p>
      <w:pPr>
        <w:pStyle w:val="ListBullet"/>
      </w:pPr>
      <w:r>
        <w:t>**Data Breach:** Loss of, unauthorized access to, or unauthorized disclosure of personal information under OHP’s control, including regulated data fields such as full name, date of birth, address, driver’s license, tax ID, financial account numbers, and login credentials.</w:t>
      </w:r>
    </w:p>
    <w:p>
      <w:pPr>
        <w:pStyle w:val="ListBullet"/>
      </w:pPr>
      <w:r>
        <w:t>**Personal Information:** Information about an identifiable individual, as defined in PIPEDA, GDPR, the Australian Privacy Act, CCPA/CPRA, and PCI DSS.</w:t>
      </w:r>
    </w:p>
    <w:p>
      <w:pPr>
        <w:pStyle w:val="ListBullet"/>
      </w:pPr>
      <w:r>
        <w:t>**Suspected Breach:** Any event or observation that may indicate a data breach, even if not confirmed.</w:t>
      </w:r>
    </w:p>
    <w:p>
      <w:r>
        <w:br/>
      </w:r>
    </w:p>
    <w:p>
      <w:pPr>
        <w:pStyle w:val="Heading2"/>
      </w:pPr>
      <w:r>
        <w:t>4. Responsibilities</w:t>
      </w:r>
    </w:p>
    <w:p>
      <w:r>
        <w:t xml:space="preserve">**All Personnel:**  </w:t>
      </w:r>
    </w:p>
    <w:p>
      <w:pPr>
        <w:pStyle w:val="ListBullet"/>
      </w:pPr>
      <w:r>
        <w:t>Immediately report any suspected or confirmed data breach as outlined below.</w:t>
      </w:r>
    </w:p>
    <w:p>
      <w:pPr>
        <w:pStyle w:val="ListBullet"/>
      </w:pPr>
      <w:r>
        <w:t>Cooperate fully with subsequent investigations.</w:t>
      </w:r>
    </w:p>
    <w:p>
      <w:r>
        <w:t xml:space="preserve">**Privacy Officer:**  </w:t>
      </w:r>
    </w:p>
    <w:p>
      <w:pPr>
        <w:pStyle w:val="ListBullet"/>
      </w:pPr>
      <w:r>
        <w:t>Receive, log, and assess all incident reports.</w:t>
      </w:r>
    </w:p>
    <w:p>
      <w:pPr>
        <w:pStyle w:val="ListBullet"/>
      </w:pPr>
      <w:r>
        <w:t>Lead breach containment, investigation, and regulatory notification processes.</w:t>
      </w:r>
    </w:p>
    <w:p>
      <w:pPr>
        <w:pStyle w:val="ListBullet"/>
      </w:pPr>
      <w:r>
        <w:t>Maintain incident records as required by PIPEDA and other applicable laws.</w:t>
      </w:r>
    </w:p>
    <w:p>
      <w:r>
        <w:t xml:space="preserve">**Managers/Supervisors:**  </w:t>
      </w:r>
    </w:p>
    <w:p>
      <w:pPr>
        <w:pStyle w:val="ListBullet"/>
      </w:pPr>
      <w:r>
        <w:t>Support personnel in reporting and ensure awareness of this Procedure.</w:t>
      </w:r>
    </w:p>
    <w:p>
      <w:r>
        <w:br/>
      </w:r>
    </w:p>
    <w:p>
      <w:pPr>
        <w:pStyle w:val="Heading2"/>
      </w:pPr>
      <w:r>
        <w:t>5. Reporting Procedure</w:t>
      </w:r>
    </w:p>
    <w:p>
      <w:pPr>
        <w:pStyle w:val="Heading3"/>
      </w:pPr>
      <w:r>
        <w:t>5.1 Immediate Action</w:t>
      </w:r>
    </w:p>
    <w:p>
      <w:r>
        <w:t>Upon discovery of a suspected or confirmed data breach, the individual must:</w:t>
      </w:r>
    </w:p>
    <w:p>
      <w:pPr>
        <w:pStyle w:val="ListNumber"/>
      </w:pPr>
      <w:r>
        <w:t>**Cease any activity that may further compromise data.**</w:t>
      </w:r>
    </w:p>
    <w:p>
      <w:pPr>
        <w:pStyle w:val="ListNumber"/>
      </w:pPr>
      <w:r>
        <w:t>**Preserve all evidence** (do not alter, delete, or destroy any related records or devices).</w:t>
      </w:r>
    </w:p>
    <w:p>
      <w:pPr>
        <w:pStyle w:val="ListNumber"/>
      </w:pPr>
      <w:r>
        <w:t>**Report the incident immediately** (within one hour of discovery) using one of the following methods:</w:t>
      </w:r>
    </w:p>
    <w:p>
      <w:pPr>
        <w:pStyle w:val="ListBullet"/>
      </w:pPr>
      <w:r>
        <w:t>**Email:** privacy@oakvillehealth.ca</w:t>
      </w:r>
    </w:p>
    <w:p>
      <w:pPr>
        <w:pStyle w:val="ListBullet"/>
      </w:pPr>
      <w:r>
        <w:t>**Phone:** [Insert Privacy Officer’s direct line]</w:t>
      </w:r>
    </w:p>
    <w:p>
      <w:pPr>
        <w:pStyle w:val="ListBullet"/>
      </w:pPr>
      <w:r>
        <w:t>**In-person:** Notify your supervisor or the Privacy Officer directly</w:t>
      </w:r>
    </w:p>
    <w:p>
      <w:pPr>
        <w:pStyle w:val="Heading3"/>
      </w:pPr>
      <w:r>
        <w:t>5.2 Required Information</w:t>
      </w:r>
    </w:p>
    <w:p>
      <w:r>
        <w:t>When reporting, provide the following details (if known):</w:t>
      </w:r>
    </w:p>
    <w:p>
      <w:pPr>
        <w:pStyle w:val="ListBullet"/>
      </w:pPr>
      <w:r>
        <w:t>Date and time of incident/discovery</w:t>
      </w:r>
    </w:p>
    <w:p>
      <w:pPr>
        <w:pStyle w:val="ListBullet"/>
      </w:pPr>
      <w:r>
        <w:t>Description of the incident (what happened, how, and when)</w:t>
      </w:r>
    </w:p>
    <w:p>
      <w:pPr>
        <w:pStyle w:val="ListBullet"/>
      </w:pPr>
      <w:r>
        <w:t>Types of personal information involved (e.g., full name, date of birth, address, driver’s license, tax ID, financial account, login credentials)</w:t>
      </w:r>
    </w:p>
    <w:p>
      <w:pPr>
        <w:pStyle w:val="ListBullet"/>
      </w:pPr>
      <w:r>
        <w:t>Individuals or systems affected</w:t>
      </w:r>
    </w:p>
    <w:p>
      <w:pPr>
        <w:pStyle w:val="ListBullet"/>
      </w:pPr>
      <w:r>
        <w:t>Steps taken so far</w:t>
      </w:r>
    </w:p>
    <w:p>
      <w:pPr>
        <w:pStyle w:val="ListBullet"/>
      </w:pPr>
      <w:r>
        <w:t>Your contact information</w:t>
      </w:r>
    </w:p>
    <w:p>
      <w:pPr>
        <w:pStyle w:val="Heading3"/>
      </w:pPr>
      <w:r>
        <w:t>5.3 Escalation</w:t>
      </w:r>
    </w:p>
    <w:p>
      <w:pPr>
        <w:pStyle w:val="ListBullet"/>
      </w:pPr>
      <w:r>
        <w:t>The Privacy Officer will assess the report within 24 hours.</w:t>
      </w:r>
    </w:p>
    <w:p>
      <w:pPr>
        <w:pStyle w:val="ListBullet"/>
      </w:pPr>
      <w:r>
        <w:t>If the breach poses a real risk of significant harm (as defined by PIPEDA s.10.1(7) and equivalent standards under GDPR, Australian Privacy Act, CCPA/CPRA, and PCI DSS), the Privacy Officer will initiate the Breach Response Protocol, including notification to the Office of the Privacy Commissioner of Canada, other relevant regulators, and affected individuals, as required by law.</w:t>
      </w:r>
    </w:p>
    <w:p>
      <w:r>
        <w:br/>
      </w:r>
    </w:p>
    <w:p>
      <w:pPr>
        <w:pStyle w:val="Heading2"/>
      </w:pPr>
      <w:r>
        <w:t>6. Confidentiality &amp; Non-Retaliation</w:t>
      </w:r>
    </w:p>
    <w:p>
      <w:r>
        <w:t>All reports will be handled confidentially to the extent possible. OHP prohibits retaliation against any individual who reports a suspected or confirmed data breach in good faith.</w:t>
      </w:r>
    </w:p>
    <w:p>
      <w:r>
        <w:br/>
      </w:r>
    </w:p>
    <w:p>
      <w:pPr>
        <w:pStyle w:val="Heading2"/>
      </w:pPr>
      <w:r>
        <w:t>7. Record-Keeping</w:t>
      </w:r>
    </w:p>
    <w:p>
      <w:r>
        <w:t>OHP will maintain a record of every data breach incident, regardless of materiality, for a minimum of 24 months, as required by PIPEDA s.10.3 and in accordance with best practices under GDPR, the Australian Privacy Act, and PCI DSS.</w:t>
      </w:r>
    </w:p>
    <w:p>
      <w:r>
        <w:br/>
      </w:r>
    </w:p>
    <w:p>
      <w:pPr>
        <w:pStyle w:val="Heading2"/>
      </w:pPr>
      <w:r>
        <w:t>8. Training &amp; Awareness</w:t>
      </w:r>
    </w:p>
    <w:p>
      <w:r>
        <w:t>All personnel will receive training on this Procedure upon hire and annually thereafter, with specific emphasis on the handling of highly sensitive data fields and evolving regulatory requirements as identified in cybersecai.io’s ongoing risk assessments.</w:t>
      </w:r>
    </w:p>
    <w:p>
      <w:r>
        <w:br/>
      </w:r>
    </w:p>
    <w:p>
      <w:pPr>
        <w:pStyle w:val="Heading2"/>
      </w:pPr>
      <w:r>
        <w:t>9. Regulatory Reference</w:t>
      </w:r>
    </w:p>
    <w:p>
      <w:pPr>
        <w:pStyle w:val="ListBullet"/>
      </w:pPr>
      <w:r>
        <w:t>**PIPEDA s.10.1(3):** “An organization shall notify the Commissioner of any breach of security safeguards involving personal information under its control if it is reasonable in the circumstances to believe that the breach creates a real risk of significant harm to an individual.”</w:t>
      </w:r>
    </w:p>
    <w:p>
      <w:pPr>
        <w:pStyle w:val="ListBullet"/>
      </w:pPr>
      <w:r>
        <w:t>**PIPEDA s.10.3:** Record-keeping obligations for all breaches.</w:t>
      </w:r>
    </w:p>
    <w:p>
      <w:pPr>
        <w:pStyle w:val="ListBullet"/>
      </w:pPr>
      <w:r>
        <w:t>**GDPR (Articles 33, 34):** Notification requirements for breaches involving EU/EEA data subjects.</w:t>
      </w:r>
    </w:p>
    <w:p>
      <w:pPr>
        <w:pStyle w:val="ListBullet"/>
      </w:pPr>
      <w:r>
        <w:t>**Australian Privacy Act (NDB Scheme):** Mandatory breach notification for eligible data breaches.</w:t>
      </w:r>
    </w:p>
    <w:p>
      <w:pPr>
        <w:pStyle w:val="ListBullet"/>
      </w:pPr>
      <w:r>
        <w:t>**CCPA/CPRA:** Breach notification obligations for California residents.</w:t>
      </w:r>
    </w:p>
    <w:p>
      <w:pPr>
        <w:pStyle w:val="ListBullet"/>
      </w:pPr>
      <w:r>
        <w:t>**PCI DSS:** Incident response and notification requirements for payment card data.</w:t>
      </w:r>
    </w:p>
    <w:p>
      <w:r>
        <w:br/>
      </w:r>
    </w:p>
    <w:p>
      <w:pPr>
        <w:pStyle w:val="Heading2"/>
      </w:pPr>
      <w:r>
        <w:t>10. Technical and Organizational Controls</w:t>
      </w:r>
    </w:p>
    <w:p>
      <w:r>
        <w:t>Based on the cybersecai.io platform’s expert recommendations, OHP will:</w:t>
      </w:r>
    </w:p>
    <w:p>
      <w:pPr>
        <w:pStyle w:val="ListBullet"/>
      </w:pPr>
      <w:r>
        <w:t>**Implement strong access controls and least privilege** (ISO/IEC 27001:2013 A.9, NIST AC-6)</w:t>
      </w:r>
    </w:p>
    <w:p>
      <w:pPr>
        <w:pStyle w:val="ListBullet"/>
      </w:pPr>
      <w:r>
        <w:t>**Encrypt data at rest and in transit** (AES-256 or equivalent; ISO/IEC 27001:2013 A.10, NIST SC-13/SC-28)</w:t>
      </w:r>
    </w:p>
    <w:p>
      <w:pPr>
        <w:pStyle w:val="ListBullet"/>
      </w:pPr>
      <w:r>
        <w:t>**Apply multi-factor authentication** for all access to sensitive data (ISO/IEC 27001:2013 A.9.4.2, NIST SP 800-53 IA-2)</w:t>
      </w:r>
    </w:p>
    <w:p>
      <w:pPr>
        <w:pStyle w:val="ListBullet"/>
      </w:pPr>
      <w:r>
        <w:t>**Conduct regular audits and monitoring** (ISO/IEC 27001:2013 A.12, NIST AU-2/AU-6)</w:t>
      </w:r>
    </w:p>
    <w:p>
      <w:pPr>
        <w:pStyle w:val="ListBullet"/>
      </w:pPr>
      <w:r>
        <w:t>**Apply data loss prevention (DLP) solutions** (ISO/IEC 27001:2013 A.8, NIST SI-4)</w:t>
      </w:r>
    </w:p>
    <w:p>
      <w:pPr>
        <w:pStyle w:val="ListBullet"/>
      </w:pPr>
      <w:r>
        <w:t>**Perform regular risk assessments and penetration testing** (ISO/IEC 27005, NIST SP 800-30, RA-5)</w:t>
      </w:r>
    </w:p>
    <w:p>
      <w:pPr>
        <w:pStyle w:val="ListBullet"/>
      </w:pPr>
      <w:r>
        <w:t>**Ensure secure disposal of sensitive data** (ISO/IEC 27001:2013 A.11, NIST MP-6)</w:t>
      </w:r>
    </w:p>
    <w:p>
      <w:pPr>
        <w:pStyle w:val="ListBullet"/>
      </w:pPr>
      <w:r>
        <w:t>**Maintain incident response and data breach notification procedures** (ISO/IEC 27035, NIST IR-4)</w:t>
      </w:r>
    </w:p>
    <w:p>
      <w:pPr>
        <w:pStyle w:val="ListBullet"/>
      </w:pPr>
      <w:r>
        <w:t>**Conduct ongoing security awareness training** (ISO/IEC 27001:2013 A.7.2.2, NIST SP 800-53 AT-2)</w:t>
      </w:r>
    </w:p>
    <w:p>
      <w:pPr>
        <w:jc w:val="left"/>
      </w:pPr>
      <w:r>
        <w:rPr>
          <w:i/>
        </w:rPr>
        <w:t>_All controls and recommendations above are sourced from cybersecai.io’s integrated AWS S3 and M365 data risk analysis reports._</w:t>
      </w:r>
    </w:p>
    <w:p>
      <w:r>
        <w:br/>
      </w:r>
    </w:p>
    <w:p>
      <w:pPr>
        <w:pStyle w:val="Heading2"/>
      </w:pPr>
      <w:r>
        <w:t>11. Questions</w:t>
      </w:r>
    </w:p>
    <w:p>
      <w:r>
        <w:t>For questions regarding this Procedure, contact the Privacy Officer at privacy@oakvillehealth.ca.</w:t>
      </w:r>
    </w:p>
    <w:p>
      <w:r>
        <w:br/>
      </w:r>
    </w:p>
    <w:p>
      <w:r>
        <w:t>*This Procedure is mandatory. Failure to comply may result in disciplinary action, up to and including termination.*</w:t>
      </w:r>
    </w:p>
    <w:p>
      <w:r>
        <w:br/>
      </w:r>
    </w:p>
    <w:p>
      <w:r>
        <w:t>**Document prepared and reviewed in accordance with expert recommendations and risk data from the cybersecai.io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