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Pepsi Pty Ltd</w:t>
      </w:r>
    </w:p>
    <w:p>
      <w:pPr>
        <w:pStyle w:val="Heading1"/>
      </w:pPr>
      <w:r>
        <w:t>Incident Response Policy</w:t>
      </w:r>
    </w:p>
    <w:p>
      <w:r>
        <w:t xml:space="preserve">**Effective Date:** [Insert Date]  </w:t>
      </w:r>
    </w:p>
    <w:p>
      <w:r>
        <w:t xml:space="preserve">**Approved By:** [Insert Approving Authority]  </w:t>
      </w:r>
    </w:p>
    <w:p>
      <w:r>
        <w:t>**Version:** 1.0</w:t>
      </w:r>
    </w:p>
    <w:p>
      <w:r>
        <w:br/>
      </w:r>
    </w:p>
    <w:p>
      <w:pPr>
        <w:pStyle w:val="Heading2"/>
      </w:pPr>
      <w:r>
        <w:t>1. Purpose</w:t>
      </w:r>
    </w:p>
    <w:p>
      <w:r>
        <w:t>This Incident Response Policy (“Policy”) establishes Pepsi Pty Ltd’s framework for identifying, managing, and resolving security incidents, including data breaches. The Policy ensures compliance with applicable U.S. laws and regulations (e.g., GLBA, HIPAA), and aligns with industry standards such as the NIST Cybersecurity Framework (NIST CSF) and FTC guidance.</w:t>
      </w:r>
    </w:p>
    <w:p>
      <w:r>
        <w:t xml:space="preserve">**Expert Note:**  </w:t>
      </w:r>
    </w:p>
    <w:p>
      <w:r>
        <w:t>Based on recent data risk assessments from the cybersecai.io platform, Pepsi Pty Ltd regularly processes and stores highly sensitive regulated data, including full names, addresses, dates of birth, email addresses, bank account numbers, tax file numbers, credit card numbers, login credentials, and device identifiers. These data types are subject to strict requirements under GDPR, the Australian Privacy Act, and PCI DSS, and their presence significantly elevates the risk profile for data breaches and regulatory non-compliance.</w:t>
      </w:r>
    </w:p>
    <w:p>
      <w:r>
        <w:br/>
      </w:r>
    </w:p>
    <w:p>
      <w:pPr>
        <w:pStyle w:val="Heading2"/>
      </w:pPr>
      <w:r>
        <w:t>2. Scope</w:t>
      </w:r>
    </w:p>
    <w:p>
      <w:r>
        <w:t>This Policy applies to all Pepsi Pty Ltd personnel, contractors, and third-party service providers with access to company information systems, data, or facilities.</w:t>
      </w:r>
    </w:p>
    <w:p>
      <w:r>
        <w:t xml:space="preserve">**Expert Note:**  </w:t>
      </w:r>
    </w:p>
    <w:p>
      <w:r>
        <w:t>Scope explicitly includes all environments and systems where regulated data (as identified in the cybersecai.io platform’s recent audits) is processed, including cloud, on-premises, and hybrid infrastructures.</w:t>
      </w:r>
    </w:p>
    <w:p>
      <w:r>
        <w:br/>
      </w:r>
    </w:p>
    <w:p>
      <w:pPr>
        <w:pStyle w:val="Heading2"/>
      </w:pPr>
      <w:r>
        <w:t>3. Definitions</w:t>
      </w:r>
    </w:p>
    <w:p>
      <w:pPr>
        <w:pStyle w:val="ListBullet"/>
      </w:pPr>
      <w:r>
        <w:t>**Security Incident:** Any actual or suspected event that jeopardizes the confidentiality, integrity, or availability of information assets, including unauthorized access, use, disclosure, modification, or destruction of data.</w:t>
      </w:r>
    </w:p>
    <w:p>
      <w:pPr>
        <w:pStyle w:val="ListBullet"/>
      </w:pPr>
      <w:r>
        <w:t>**Data Breach:** A security incident resulting in the unauthorized acquisition, access, or disclosure of sensitive or regulated data (e.g., personal information, financial data, protected health information).</w:t>
      </w:r>
    </w:p>
    <w:p>
      <w:r>
        <w:t xml:space="preserve">**Expert Note:**  </w:t>
      </w:r>
    </w:p>
    <w:p>
      <w:r>
        <w:t xml:space="preserve">Sensitive data types identified by cybersecai.io include, but are not limited to:  </w:t>
      </w:r>
    </w:p>
    <w:p>
      <w:pPr>
        <w:pStyle w:val="ListBullet"/>
      </w:pPr>
      <w:r>
        <w:t>Full Name</w:t>
      </w:r>
    </w:p>
    <w:p>
      <w:pPr>
        <w:pStyle w:val="ListBullet"/>
      </w:pPr>
      <w:r>
        <w:t>Address</w:t>
      </w:r>
    </w:p>
    <w:p>
      <w:pPr>
        <w:pStyle w:val="ListBullet"/>
      </w:pPr>
      <w:r>
        <w:t>Date of Birth</w:t>
      </w:r>
    </w:p>
    <w:p>
      <w:pPr>
        <w:pStyle w:val="ListBullet"/>
      </w:pPr>
      <w:r>
        <w:t>Email Address</w:t>
      </w:r>
    </w:p>
    <w:p>
      <w:pPr>
        <w:pStyle w:val="ListBullet"/>
      </w:pPr>
      <w:r>
        <w:t>Bank Account Number</w:t>
      </w:r>
    </w:p>
    <w:p>
      <w:pPr>
        <w:pStyle w:val="ListBullet"/>
      </w:pPr>
      <w:r>
        <w:t>Financial Account Information</w:t>
      </w:r>
    </w:p>
    <w:p>
      <w:pPr>
        <w:pStyle w:val="ListBullet"/>
      </w:pPr>
      <w:r>
        <w:t>Credit Card Number</w:t>
      </w:r>
    </w:p>
    <w:p>
      <w:pPr>
        <w:pStyle w:val="ListBullet"/>
      </w:pPr>
      <w:r>
        <w:t>Tax File Number</w:t>
      </w:r>
    </w:p>
    <w:p>
      <w:pPr>
        <w:pStyle w:val="ListBullet"/>
      </w:pPr>
      <w:r>
        <w:t>Driver’s License Number</w:t>
      </w:r>
    </w:p>
    <w:p>
      <w:pPr>
        <w:pStyle w:val="ListBullet"/>
      </w:pPr>
      <w:r>
        <w:t>Login Credentials</w:t>
      </w:r>
    </w:p>
    <w:p>
      <w:pPr>
        <w:pStyle w:val="ListBullet"/>
      </w:pPr>
      <w:r>
        <w:t>Device ID</w:t>
      </w:r>
    </w:p>
    <w:p>
      <w:pPr>
        <w:pStyle w:val="ListBullet"/>
      </w:pPr>
      <w:r>
        <w:t>Customer Photos</w:t>
      </w:r>
    </w:p>
    <w:p>
      <w:pPr>
        <w:pStyle w:val="ListBullet"/>
      </w:pPr>
      <w:r>
        <w:t>Medicare Number</w:t>
      </w:r>
    </w:p>
    <w:p>
      <w:r>
        <w:br/>
      </w:r>
    </w:p>
    <w:p>
      <w:pPr>
        <w:pStyle w:val="Heading2"/>
      </w:pPr>
      <w:r>
        <w:t>4. Roles and Responsibilities</w:t>
      </w:r>
    </w:p>
    <w:p>
      <w:pPr>
        <w:pStyle w:val="Heading3"/>
      </w:pPr>
      <w:r>
        <w:t>4.1 Incident Response Team (IRT)</w:t>
      </w:r>
    </w:p>
    <w:p>
      <w:pPr>
        <w:pStyle w:val="ListBullet"/>
      </w:pPr>
      <w:r>
        <w:t>**Composition:** CISO (Chair), IT Security Lead, Legal Counsel, HR, Communications, Business Unit Representatives.</w:t>
      </w:r>
    </w:p>
    <w:p>
      <w:pPr>
        <w:pStyle w:val="ListBullet"/>
      </w:pPr>
      <w:r>
        <w:t>**Duties:** Coordinate incident response, investigation, containment, eradication, recovery, and post-incident review.</w:t>
      </w:r>
    </w:p>
    <w:p>
      <w:pPr>
        <w:pStyle w:val="Heading3"/>
      </w:pPr>
      <w:r>
        <w:t>4.2 CISO (Chief Information Security Officer)</w:t>
      </w:r>
    </w:p>
    <w:p>
      <w:pPr>
        <w:pStyle w:val="ListBullet"/>
      </w:pPr>
      <w:r>
        <w:t>Overall responsibility for incident response program.</w:t>
      </w:r>
    </w:p>
    <w:p>
      <w:pPr>
        <w:pStyle w:val="ListBullet"/>
      </w:pPr>
      <w:r>
        <w:t>Ensures compliance with legal and regulatory obligations.</w:t>
      </w:r>
    </w:p>
    <w:p>
      <w:pPr>
        <w:pStyle w:val="ListBullet"/>
      </w:pPr>
      <w:r>
        <w:t>Reports significant incidents to executive management.</w:t>
      </w:r>
    </w:p>
    <w:p>
      <w:pPr>
        <w:pStyle w:val="Heading3"/>
      </w:pPr>
      <w:r>
        <w:t>4.3 Legal Counsel</w:t>
      </w:r>
    </w:p>
    <w:p>
      <w:pPr>
        <w:pStyle w:val="ListBullet"/>
      </w:pPr>
      <w:r>
        <w:t>Advises on legal and regulatory notification requirements (e.g., GLBA, HIPAA, state breach laws, GDPR, Australian Privacy Act, PCI DSS).</w:t>
      </w:r>
    </w:p>
    <w:p>
      <w:pPr>
        <w:pStyle w:val="ListBullet"/>
      </w:pPr>
      <w:r>
        <w:t>Coordinates with regulators and law enforcement as necessary.</w:t>
      </w:r>
    </w:p>
    <w:p>
      <w:pPr>
        <w:pStyle w:val="Heading3"/>
      </w:pPr>
      <w:r>
        <w:t>4.4 All Employees</w:t>
      </w:r>
    </w:p>
    <w:p>
      <w:pPr>
        <w:pStyle w:val="ListBullet"/>
      </w:pPr>
      <w:r>
        <w:t>Must promptly report suspected or confirmed security incidents to the IRT via [designated reporting channel/email/phone].</w:t>
      </w:r>
    </w:p>
    <w:p>
      <w:r>
        <w:br/>
      </w:r>
    </w:p>
    <w:p>
      <w:pPr>
        <w:pStyle w:val="Heading2"/>
      </w:pPr>
      <w:r>
        <w:t>5. Incident Response Process</w:t>
      </w:r>
    </w:p>
    <w:p>
      <w:pPr>
        <w:pStyle w:val="Heading3"/>
      </w:pPr>
      <w:r>
        <w:t>5.1 Preparation</w:t>
      </w:r>
    </w:p>
    <w:p>
      <w:pPr>
        <w:pStyle w:val="ListBullet"/>
      </w:pPr>
      <w:r>
        <w:t>Maintain and regularly update incident response procedures.</w:t>
      </w:r>
    </w:p>
    <w:p>
      <w:pPr>
        <w:pStyle w:val="ListBullet"/>
      </w:pPr>
      <w:r>
        <w:t>Conduct periodic training and awareness programs, with a focus on handling highly regulated data types as flagged by cybersecai.io (see Section 3).</w:t>
      </w:r>
    </w:p>
    <w:p>
      <w:pPr>
        <w:pStyle w:val="ListBullet"/>
      </w:pPr>
      <w:r>
        <w:t>Ensure tools and resources are available for effective response.</w:t>
      </w:r>
    </w:p>
    <w:p>
      <w:pPr>
        <w:pStyle w:val="Heading3"/>
      </w:pPr>
      <w:r>
        <w:t>5.2 Identification</w:t>
      </w:r>
    </w:p>
    <w:p>
      <w:pPr>
        <w:pStyle w:val="ListBullet"/>
      </w:pPr>
      <w:r>
        <w:t>Detect and validate potential security incidents using monitoring tools, user reports, and automated alerts.</w:t>
      </w:r>
    </w:p>
    <w:p>
      <w:pPr>
        <w:pStyle w:val="ListBullet"/>
      </w:pPr>
      <w:r>
        <w:t>Document all relevant facts and evidence, with particular attention to incidents involving regulated data fields (e.g., credit card numbers, tax IDs, login credentials).</w:t>
      </w:r>
    </w:p>
    <w:p>
      <w:pPr>
        <w:pStyle w:val="Heading3"/>
      </w:pPr>
      <w:r>
        <w:t>5.3 Containment</w:t>
      </w:r>
    </w:p>
    <w:p>
      <w:pPr>
        <w:pStyle w:val="ListBullet"/>
      </w:pPr>
      <w:r>
        <w:t>Implement immediate measures to limit the scope and impact of the incident.</w:t>
      </w:r>
    </w:p>
    <w:p>
      <w:pPr>
        <w:pStyle w:val="ListBullet"/>
      </w:pPr>
      <w:r>
        <w:t>Short-term: Isolate affected systems, especially those processing high-risk data (per cybersecai.io risk ratings).</w:t>
      </w:r>
    </w:p>
    <w:p>
      <w:pPr>
        <w:pStyle w:val="ListBullet"/>
      </w:pPr>
      <w:r>
        <w:t>Long-term: Apply patches, change credentials, enhance monitoring.</w:t>
      </w:r>
    </w:p>
    <w:p>
      <w:pPr>
        <w:pStyle w:val="Heading3"/>
      </w:pPr>
      <w:r>
        <w:t>5.4 Eradication</w:t>
      </w:r>
    </w:p>
    <w:p>
      <w:pPr>
        <w:pStyle w:val="ListBullet"/>
      </w:pPr>
      <w:r>
        <w:t>Remove the root cause of the incident (e.g., malware, unauthorized access).</w:t>
      </w:r>
    </w:p>
    <w:p>
      <w:pPr>
        <w:pStyle w:val="ListBullet"/>
      </w:pPr>
      <w:r>
        <w:t>Verify that threats have been eliminated, with additional scrutiny for systems containing high-risk data.</w:t>
      </w:r>
    </w:p>
    <w:p>
      <w:pPr>
        <w:pStyle w:val="Heading3"/>
      </w:pPr>
      <w:r>
        <w:t>5.5 Recovery</w:t>
      </w:r>
    </w:p>
    <w:p>
      <w:pPr>
        <w:pStyle w:val="ListBullet"/>
      </w:pPr>
      <w:r>
        <w:t>Restore affected systems and services to normal operation.</w:t>
      </w:r>
    </w:p>
    <w:p>
      <w:pPr>
        <w:pStyle w:val="ListBullet"/>
      </w:pPr>
      <w:r>
        <w:t>Monitor for signs of recurrence.</w:t>
      </w:r>
    </w:p>
    <w:p>
      <w:pPr>
        <w:pStyle w:val="ListBullet"/>
      </w:pPr>
      <w:r>
        <w:t>Validate system integrity before returning to production.</w:t>
      </w:r>
    </w:p>
    <w:p>
      <w:pPr>
        <w:pStyle w:val="Heading3"/>
      </w:pPr>
      <w:r>
        <w:t>5.6 Post-Incident Review</w:t>
      </w:r>
    </w:p>
    <w:p>
      <w:pPr>
        <w:pStyle w:val="ListBullet"/>
      </w:pPr>
      <w:r>
        <w:t>Conduct a “lessons learned” meeting within 30 days of incident closure.</w:t>
      </w:r>
    </w:p>
    <w:p>
      <w:pPr>
        <w:pStyle w:val="ListBullet"/>
      </w:pPr>
      <w:r>
        <w:t>Update policies, procedures, and controls as necessary, especially where incidents involved high-risk regulated data (see cybersecai.io recommendations).</w:t>
      </w:r>
    </w:p>
    <w:p>
      <w:r>
        <w:br/>
      </w:r>
    </w:p>
    <w:p>
      <w:pPr>
        <w:pStyle w:val="Heading2"/>
      </w:pPr>
      <w:r>
        <w:t>6. Notification and Reporting</w:t>
      </w:r>
    </w:p>
    <w:p>
      <w:pPr>
        <w:pStyle w:val="ListBullet"/>
      </w:pPr>
      <w:r>
        <w:t>**Internal:** Promptly escalate incidents to executive management and relevant business units.</w:t>
      </w:r>
    </w:p>
    <w:p>
      <w:pPr>
        <w:pStyle w:val="ListBullet"/>
      </w:pPr>
      <w:r>
        <w:t>**External:** Notify affected individuals, regulators, and law enforcement as required by law (e.g., GLBA, HIPAA, GDPR, Australian Privacy Act, PCI DSS, state breach notification statutes).</w:t>
      </w:r>
    </w:p>
    <w:p>
      <w:pPr>
        <w:pStyle w:val="ListBullet"/>
      </w:pPr>
      <w:r>
        <w:t>**Timelines:** Adhere to statutory notification deadlines (e.g., HIPAA: without unreasonable delay, no later than 60 days; GDPR: within 72 hours; Australian NDB: as soon as practicable; state laws may vary).</w:t>
      </w:r>
    </w:p>
    <w:p>
      <w:pPr>
        <w:pStyle w:val="ListBullet"/>
      </w:pPr>
      <w:r>
        <w:t>**Documentation:** Maintain detailed records of incident response actions, notifications, and decisions.</w:t>
      </w:r>
    </w:p>
    <w:p>
      <w:r>
        <w:t xml:space="preserve">**Expert Note:**  </w:t>
      </w:r>
    </w:p>
    <w:p>
      <w:r>
        <w:t>Recent cybersecai.io audits recommend immediate notification and quarantine of files containing high-risk data fields, including full names, addresses, dates of birth, tax file numbers, credit card numbers, and login credentials. Failure to notify within statutory timeframes may result in significant regulatory penalties.</w:t>
      </w:r>
    </w:p>
    <w:p>
      <w:r>
        <w:br/>
      </w:r>
    </w:p>
    <w:p>
      <w:pPr>
        <w:pStyle w:val="Heading2"/>
      </w:pPr>
      <w:r>
        <w:t>7. Regulatory and Legal Compliance</w:t>
      </w:r>
    </w:p>
    <w:p>
      <w:pPr>
        <w:pStyle w:val="ListBullet"/>
      </w:pPr>
      <w:r>
        <w:t>**GLBA:** Financial data incidents must comply with the Interagency Guidelines Establishing Information Security Standards.</w:t>
      </w:r>
    </w:p>
    <w:p>
      <w:pPr>
        <w:pStyle w:val="ListBullet"/>
      </w:pPr>
      <w:r>
        <w:t>**HIPAA:** Healthcare data incidents must comply with the HIPAA Breach Notification Rule (45 CFR §§ 164.400-414).</w:t>
      </w:r>
    </w:p>
    <w:p>
      <w:pPr>
        <w:pStyle w:val="ListBullet"/>
      </w:pPr>
      <w:r>
        <w:t>**GDPR:** Incidents involving EU/EEA data subjects must comply with the GDPR breach notification requirements (Articles 33 and 34).</w:t>
      </w:r>
    </w:p>
    <w:p>
      <w:pPr>
        <w:pStyle w:val="ListBullet"/>
      </w:pPr>
      <w:r>
        <w:t>**Australian Privacy Act:** Incidents involving Australian personal information must comply with the Notifiable Data Breaches (NDB) scheme.</w:t>
      </w:r>
    </w:p>
    <w:p>
      <w:pPr>
        <w:pStyle w:val="ListBullet"/>
      </w:pPr>
      <w:r>
        <w:t>**PCI DSS:** Payment card data incidents must comply with PCI DSS incident response and notification requirements.</w:t>
      </w:r>
    </w:p>
    <w:p>
      <w:pPr>
        <w:pStyle w:val="ListBullet"/>
      </w:pPr>
      <w:r>
        <w:t>**FTC Guidance:** Follow FTC recommendations for safeguarding consumer information.</w:t>
      </w:r>
    </w:p>
    <w:p>
      <w:pPr>
        <w:pStyle w:val="ListBullet"/>
      </w:pPr>
      <w:r>
        <w:t>**State Laws:** Comply with all applicable state data breach notification statutes.</w:t>
      </w:r>
    </w:p>
    <w:p>
      <w:r>
        <w:t xml:space="preserve">**Expert Note:**  </w:t>
      </w:r>
    </w:p>
    <w:p>
      <w:r>
        <w:t>Cybersecai.io platform assessments have repeatedly flagged the presence of data fields regulated under multiple overlapping regimes (GDPR, Australian Privacy Act, PCI DSS). Incident response must account for the strictest applicable requirements in the event of a cross-jurisdictional breach.</w:t>
      </w:r>
    </w:p>
    <w:p>
      <w:r>
        <w:br/>
      </w:r>
    </w:p>
    <w:p>
      <w:pPr>
        <w:pStyle w:val="Heading2"/>
      </w:pPr>
      <w:r>
        <w:t>8. Policy Review</w:t>
      </w:r>
    </w:p>
    <w:p>
      <w:r>
        <w:t>This Policy shall be reviewed at least annually, or upon significant changes to legal, regulatory, or business requirements.</w:t>
      </w:r>
    </w:p>
    <w:p>
      <w:r>
        <w:t xml:space="preserve">**Expert Note:**  </w:t>
      </w:r>
    </w:p>
    <w:p>
      <w:r>
        <w:t>Policy review cycles should incorporate findings from cybersecai.io risk assessments and incident analytics, especially where new types of regulated data are detected or regulatory standards evolve.</w:t>
      </w:r>
    </w:p>
    <w:p>
      <w:r>
        <w:br/>
      </w:r>
    </w:p>
    <w:p>
      <w:pPr>
        <w:pStyle w:val="Heading2"/>
      </w:pPr>
      <w:r>
        <w:t>9. Enforcement</w:t>
      </w:r>
    </w:p>
    <w:p>
      <w:r>
        <w:t>Violations of this Policy may result in disciplinary action, up to and including termination, and potential legal action.</w:t>
      </w:r>
    </w:p>
    <w:p>
      <w:r>
        <w:br/>
      </w:r>
    </w:p>
    <w:p>
      <w:r>
        <w:t xml:space="preserve">**Contact:**  </w:t>
      </w:r>
    </w:p>
    <w:p>
      <w:r>
        <w:t>For questions or to report an incident, contact the Incident Response Team at [IRT Contact Information].</w:t>
      </w:r>
    </w:p>
    <w:p>
      <w:r>
        <w:br/>
      </w:r>
    </w:p>
    <w:p>
      <w:r>
        <w:t>*This Policy is intended to provide a robust, legally compliant framework for incident response and may be supplemented by more detailed procedures and playbooks as required.*</w:t>
      </w:r>
    </w:p>
    <w:p>
      <w:r>
        <w:br/>
      </w:r>
    </w:p>
    <w:p>
      <w:pPr>
        <w:pStyle w:val="Heading3"/>
      </w:pPr>
      <w:r>
        <w:t>Appendix: Data Risk Summary (as per cybersecai.io platform)</w:t>
      </w:r>
    </w:p>
    <w:p>
      <w:pPr>
        <w:pStyle w:val="ListBullet"/>
      </w:pPr>
      <w:r>
        <w:t>**Overall Risk Rating:** High</w:t>
      </w:r>
    </w:p>
    <w:p>
      <w:pPr>
        <w:pStyle w:val="ListBullet"/>
      </w:pPr>
      <w:r>
        <w:rPr>
          <w:b/>
        </w:rPr>
        <w:t>Detected Regulated Data Fields:</w:t>
      </w:r>
    </w:p>
    <w:p>
      <w:pPr>
        <w:pStyle w:val="ListBullet2"/>
      </w:pPr>
      <w:r>
        <w:t>Full Name</w:t>
      </w:r>
    </w:p>
    <w:p>
      <w:pPr>
        <w:pStyle w:val="ListBullet2"/>
      </w:pPr>
      <w:r>
        <w:t>Address</w:t>
      </w:r>
    </w:p>
    <w:p>
      <w:pPr>
        <w:pStyle w:val="ListBullet2"/>
      </w:pPr>
      <w:r>
        <w:t>Date of Birth</w:t>
      </w:r>
    </w:p>
    <w:p>
      <w:pPr>
        <w:pStyle w:val="ListBullet2"/>
      </w:pPr>
      <w:r>
        <w:t>Email Address</w:t>
      </w:r>
    </w:p>
    <w:p>
      <w:pPr>
        <w:pStyle w:val="ListBullet2"/>
      </w:pPr>
      <w:r>
        <w:t>Bank Account Number</w:t>
      </w:r>
    </w:p>
    <w:p>
      <w:pPr>
        <w:pStyle w:val="ListBullet2"/>
      </w:pPr>
      <w:r>
        <w:t>Financial Account</w:t>
      </w:r>
    </w:p>
    <w:p>
      <w:pPr>
        <w:pStyle w:val="ListBullet2"/>
      </w:pPr>
      <w:r>
        <w:t>Credit Card Number</w:t>
      </w:r>
    </w:p>
    <w:p>
      <w:pPr>
        <w:pStyle w:val="ListBullet2"/>
      </w:pPr>
      <w:r>
        <w:t>Tax File Number</w:t>
      </w:r>
    </w:p>
    <w:p>
      <w:pPr>
        <w:pStyle w:val="ListBullet2"/>
      </w:pPr>
      <w:r>
        <w:t>Driver’s License Number</w:t>
      </w:r>
    </w:p>
    <w:p>
      <w:pPr>
        <w:pStyle w:val="ListBullet2"/>
      </w:pPr>
      <w:r>
        <w:t>Login Credentials</w:t>
      </w:r>
    </w:p>
    <w:p>
      <w:pPr>
        <w:pStyle w:val="ListBullet2"/>
      </w:pPr>
      <w:r>
        <w:t>Device ID</w:t>
      </w:r>
    </w:p>
    <w:p>
      <w:pPr>
        <w:pStyle w:val="ListBullet2"/>
      </w:pPr>
      <w:r>
        <w:t>Customer Photos</w:t>
      </w:r>
    </w:p>
    <w:p>
      <w:pPr>
        <w:pStyle w:val="ListBullet2"/>
      </w:pPr>
      <w:r>
        <w:t>Medicare Number</w:t>
      </w:r>
    </w:p>
    <w:p>
      <w:pPr>
        <w:pStyle w:val="ListBullet"/>
      </w:pPr>
      <w:r>
        <w:rPr>
          <w:b/>
        </w:rPr>
        <w:t>Applicable Standards:</w:t>
      </w:r>
    </w:p>
    <w:p>
      <w:pPr>
        <w:pStyle w:val="ListBullet2"/>
      </w:pPr>
      <w:r>
        <w:t>GDPR (EU/EEA/global)</w:t>
      </w:r>
    </w:p>
    <w:p>
      <w:pPr>
        <w:pStyle w:val="ListBullet2"/>
      </w:pPr>
      <w:r>
        <w:t>Australian Privacy Act</w:t>
      </w:r>
    </w:p>
    <w:p>
      <w:pPr>
        <w:pStyle w:val="ListBullet2"/>
      </w:pPr>
      <w:r>
        <w:t>PCI DSS (global payment data)</w:t>
      </w:r>
    </w:p>
    <w:p>
      <w:pPr>
        <w:pStyle w:val="ListBullet"/>
      </w:pPr>
      <w:r>
        <w:rPr>
          <w:b/>
        </w:rPr>
        <w:t>Auditor Proposed Actions:</w:t>
      </w:r>
    </w:p>
    <w:p>
      <w:pPr>
        <w:pStyle w:val="ListBullet2"/>
      </w:pPr>
      <w:r>
        <w:t>Quarantine files containing high-risk data</w:t>
      </w:r>
    </w:p>
    <w:p>
      <w:pPr>
        <w:pStyle w:val="ListBullet2"/>
      </w:pPr>
      <w:r>
        <w:t>Notify data owners for immediate review</w:t>
      </w:r>
    </w:p>
    <w:p>
      <w:pPr>
        <w:pStyle w:val="ListBullet2"/>
      </w:pPr>
      <w:r>
        <w:t>Escalate incidents involving these data types to Legal and IRT leadership</w:t>
      </w:r>
    </w:p>
    <w:p>
      <w:r>
        <w:t>*Source: cybersecai.io platform, M365 and SMB risk assessments, 2024.*</w:t>
      </w:r>
    </w:p>
    <w:p>
      <w: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