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Communication Protocol: Data Breach Notification</w:t>
      </w:r>
    </w:p>
    <w:p>
      <w:r>
        <w:t xml:space="preserve">**cybersecai Pty Ltd**  </w:t>
      </w:r>
    </w:p>
    <w:p>
      <w:r>
        <w:t xml:space="preserve">**Effective Date:** [Insert Date]  </w:t>
      </w:r>
    </w:p>
    <w:p>
      <w:r>
        <w:t>**Version:** 1.0</w:t>
      </w:r>
    </w:p>
    <w:p>
      <w:r>
        <w:br/>
      </w:r>
    </w:p>
    <w:p>
      <w:pPr>
        <w:pStyle w:val="Heading1"/>
      </w:pPr>
      <w:r>
        <w:t>1. Purpose</w:t>
      </w:r>
    </w:p>
    <w:p>
      <w:r>
        <w:t>This Protocol establishes clear, consistent, and compliant internal communication procedures for the escalation and sharing of information relating to actual or suspected data breaches within cybersecai Pty Ltd. It is designed to ensure timely, accurate, and secure dissemination of information to relevant staff and management, in accordance with the Privacy Act 1988 (Cth), the Notifiable Data Breaches (NDB) scheme, and OAIC guidance.</w:t>
      </w:r>
    </w:p>
    <w:p>
      <w:pPr>
        <w:jc w:val="left"/>
      </w:pPr>
      <w:r>
        <w:rPr>
          <w:i/>
        </w:rPr>
        <w:t>**Expert Note:**</w:t>
      </w:r>
    </w:p>
    <w:p>
      <w:pPr>
        <w:jc w:val="left"/>
      </w:pPr>
      <w:r>
        <w:rPr>
          <w:i/>
        </w:rPr>
        <w:t>Recent automated audits conducted via the cybersecai.io platform have identified the presence of highly sensitive regulated data fields—including full names, addresses, dates of birth, email addresses, bank account numbers, credit card numbers, login credentials, tax file numbers, and Medicare numbers—across multiple internal documents and systems. These findings underscore the critical importance of strict adherence to this Protocol to mitigate high risks of unauthorised disclosure or misuse, as required by GDPR, the Australian Privacy Act, and PCI DSS.</w:t>
      </w:r>
    </w:p>
    <w:p>
      <w:r>
        <w:br/>
      </w:r>
    </w:p>
    <w:p>
      <w:pPr>
        <w:pStyle w:val="Heading1"/>
      </w:pPr>
      <w:r>
        <w:t>2. Scope</w:t>
      </w:r>
    </w:p>
    <w:p>
      <w:r>
        <w:t>This Protocol applies to all employees, contractors, and officers of cybersecai Pty Ltd who may become aware of, or be involved in, the identification, assessment, or management of a data breach.</w:t>
      </w:r>
    </w:p>
    <w:p>
      <w:r>
        <w:br/>
      </w:r>
    </w:p>
    <w:p>
      <w:pPr>
        <w:pStyle w:val="Heading1"/>
      </w:pPr>
      <w:r>
        <w:t>3. Definitions</w:t>
      </w:r>
    </w:p>
    <w:p>
      <w:pPr>
        <w:pStyle w:val="ListBullet"/>
      </w:pPr>
      <w:r>
        <w:t>**Data Breach:** Unauthorised access to, disclosure of, or loss of personal information held by cybersecai Pty Ltd (see s 26WE, Privacy Act 1988 (Cth)).</w:t>
      </w:r>
    </w:p>
    <w:p>
      <w:pPr>
        <w:pStyle w:val="ListBullet"/>
      </w:pPr>
      <w:r>
        <w:t>**Eligible Data Breach:** A data breach likely to result in serious harm to individuals, as defined under the NDB scheme.</w:t>
      </w:r>
    </w:p>
    <w:p>
      <w:pPr>
        <w:jc w:val="left"/>
      </w:pPr>
      <w:r>
        <w:rPr>
          <w:i/>
        </w:rPr>
        <w:t>**cybersecai.io Data Classification:**</w:t>
      </w:r>
    </w:p>
    <w:p>
      <w:pPr>
        <w:jc w:val="left"/>
      </w:pPr>
      <w:r>
        <w:rPr>
          <w:i/>
        </w:rPr>
        <w:t>The following data types have been detected in recent reviews and are considered highly sensitive:</w:t>
      </w:r>
    </w:p>
    <w:p>
      <w:pPr>
        <w:jc w:val="left"/>
      </w:pPr>
      <w:r>
        <w:rPr>
          <w:i/>
        </w:rPr>
        <w:t>- Full Name</w:t>
      </w:r>
    </w:p>
    <w:p>
      <w:pPr>
        <w:jc w:val="left"/>
      </w:pPr>
      <w:r>
        <w:rPr>
          <w:i/>
        </w:rPr>
        <w:t>- Address</w:t>
      </w:r>
    </w:p>
    <w:p>
      <w:pPr>
        <w:jc w:val="left"/>
      </w:pPr>
      <w:r>
        <w:rPr>
          <w:i/>
        </w:rPr>
        <w:t>- Date of Birth</w:t>
      </w:r>
    </w:p>
    <w:p>
      <w:pPr>
        <w:jc w:val="left"/>
      </w:pPr>
      <w:r>
        <w:rPr>
          <w:i/>
        </w:rPr>
        <w:t>- Email Address</w:t>
      </w:r>
    </w:p>
    <w:p>
      <w:pPr>
        <w:jc w:val="left"/>
      </w:pPr>
      <w:r>
        <w:rPr>
          <w:i/>
        </w:rPr>
        <w:t>- Bank Account Number</w:t>
      </w:r>
    </w:p>
    <w:p>
      <w:pPr>
        <w:jc w:val="left"/>
      </w:pPr>
      <w:r>
        <w:rPr>
          <w:i/>
        </w:rPr>
        <w:t>- Credit Card Number</w:t>
      </w:r>
    </w:p>
    <w:p>
      <w:pPr>
        <w:jc w:val="left"/>
      </w:pPr>
      <w:r>
        <w:rPr>
          <w:i/>
        </w:rPr>
        <w:t>- Tax File Number</w:t>
      </w:r>
    </w:p>
    <w:p>
      <w:pPr>
        <w:jc w:val="left"/>
      </w:pPr>
      <w:r>
        <w:rPr>
          <w:i/>
        </w:rPr>
        <w:t>- Medicare Number</w:t>
      </w:r>
    </w:p>
    <w:p>
      <w:pPr>
        <w:jc w:val="left"/>
      </w:pPr>
      <w:r>
        <w:rPr>
          <w:i/>
        </w:rPr>
        <w:t>- Login Credentials</w:t>
      </w:r>
    </w:p>
    <w:p>
      <w:pPr>
        <w:jc w:val="left"/>
      </w:pPr>
      <w:r>
        <w:rPr>
          <w:i/>
        </w:rPr>
        <w:t>- Driver’s License Number</w:t>
      </w:r>
    </w:p>
    <w:p>
      <w:pPr>
        <w:jc w:val="left"/>
      </w:pPr>
      <w:r>
        <w:rPr>
          <w:i/>
        </w:rPr>
        <w:t>- Device ID</w:t>
      </w:r>
    </w:p>
    <w:p>
      <w:pPr>
        <w:jc w:val="left"/>
      </w:pPr>
      <w:r>
        <w:rPr>
          <w:i/>
        </w:rPr>
        <w:t>- Customer Photos</w:t>
      </w:r>
    </w:p>
    <w:p>
      <w:pPr>
        <w:jc w:val="left"/>
      </w:pPr>
      <w:r>
        <w:rPr>
          <w:i/>
        </w:rPr>
      </w:r>
    </w:p>
    <w:p>
      <w:pPr>
        <w:jc w:val="left"/>
      </w:pPr>
      <w:r>
        <w:rPr>
          <w:i/>
        </w:rPr>
        <w:t>The presence of these fields triggers high risk under GDPR, the Australian Privacy Act, and PCI DSS.</w:t>
      </w:r>
    </w:p>
    <w:p>
      <w:pPr>
        <w:jc w:val="left"/>
      </w:pPr>
      <w:r>
        <w:rPr>
          <w:i/>
        </w:rPr>
        <w:t>_Source: cybersecai.io platform audit reports (2024)_</w:t>
      </w:r>
    </w:p>
    <w:p>
      <w:r>
        <w:br/>
      </w:r>
    </w:p>
    <w:p>
      <w:pPr>
        <w:pStyle w:val="Heading1"/>
      </w:pPr>
      <w:r>
        <w:t>4.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All Staff</w:t>
            </w:r>
          </w:p>
        </w:tc>
        <w:tc>
          <w:tcPr>
            <w:tcW w:type="dxa" w:w="4320"/>
          </w:tcPr>
          <w:p>
            <w:r>
              <w:t>Immediately report any actual or suspected data breach to the Data Protection Officer (DPO).</w:t>
            </w:r>
          </w:p>
        </w:tc>
      </w:tr>
      <w:tr>
        <w:tc>
          <w:tcPr>
            <w:tcW w:type="dxa" w:w="4320"/>
          </w:tcPr>
          <w:p>
            <w:r>
              <w:t>Data Protection Officer</w:t>
            </w:r>
          </w:p>
        </w:tc>
        <w:tc>
          <w:tcPr>
            <w:tcW w:type="dxa" w:w="4320"/>
          </w:tcPr>
          <w:p>
            <w:r>
              <w:t>Assess, coordinate, and escalate breach information; maintain records; liaise with management.</w:t>
            </w:r>
          </w:p>
        </w:tc>
      </w:tr>
      <w:tr>
        <w:tc>
          <w:tcPr>
            <w:tcW w:type="dxa" w:w="4320"/>
          </w:tcPr>
          <w:p>
            <w:r>
              <w:t>Executive Management</w:t>
            </w:r>
          </w:p>
        </w:tc>
        <w:tc>
          <w:tcPr>
            <w:tcW w:type="dxa" w:w="4320"/>
          </w:tcPr>
          <w:p>
            <w:r>
              <w:t>Oversee response; make decisions on regulatory notification and public communications.</w:t>
            </w:r>
          </w:p>
        </w:tc>
      </w:tr>
      <w:tr>
        <w:tc>
          <w:tcPr>
            <w:tcW w:type="dxa" w:w="4320"/>
          </w:tcPr>
          <w:p>
            <w:r>
              <w:t>IT &amp; Security Teams</w:t>
            </w:r>
          </w:p>
        </w:tc>
        <w:tc>
          <w:tcPr>
            <w:tcW w:type="dxa" w:w="4320"/>
          </w:tcPr>
          <w:p>
            <w:r>
              <w:t>Provide technical assessment and support; contain and investigate breaches.</w:t>
            </w:r>
          </w:p>
        </w:tc>
      </w:tr>
      <w:tr>
        <w:tc>
          <w:tcPr>
            <w:tcW w:type="dxa" w:w="4320"/>
          </w:tcPr>
          <w:p>
            <w:r>
              <w:t>Legal Counsel</w:t>
            </w:r>
          </w:p>
        </w:tc>
        <w:tc>
          <w:tcPr>
            <w:tcW w:type="dxa" w:w="4320"/>
          </w:tcPr>
          <w:p>
            <w:r>
              <w:t>Advise on legal obligations, regulatory notification, and risk mitigation.</w:t>
            </w:r>
          </w:p>
        </w:tc>
      </w:tr>
    </w:tbl>
    <w:p>
      <w:pPr>
        <w:jc w:val="left"/>
      </w:pPr>
      <w:r>
        <w:rPr>
          <w:i/>
        </w:rPr>
        <w:t>**cybersecai.io Platform Recommendation:**</w:t>
      </w:r>
    </w:p>
    <w:p>
      <w:pPr>
        <w:jc w:val="left"/>
      </w:pPr>
      <w:r>
        <w:rPr>
          <w:i/>
        </w:rPr>
        <w:t>Given the high-risk data identified, Legal Counsel must be immediately involved in all incidents involving any of the above-listed sensitive fields to ensure compliance with notification and mitigation requirements.</w:t>
      </w:r>
    </w:p>
    <w:p>
      <w:r>
        <w:br/>
      </w:r>
    </w:p>
    <w:p>
      <w:pPr>
        <w:pStyle w:val="Heading1"/>
      </w:pPr>
      <w:r>
        <w:t>5. Internal Escalation Procedure</w:t>
      </w:r>
    </w:p>
    <w:p>
      <w:pPr>
        <w:pStyle w:val="Heading2"/>
      </w:pPr>
      <w:r>
        <w:t>5.1 Immediate Reporting</w:t>
      </w:r>
    </w:p>
    <w:p>
      <w:pPr>
        <w:pStyle w:val="ListBullet"/>
      </w:pPr>
      <w:r>
        <w:t>**All staff** must report any actual or suspected data breach to the DPO **immediately upon discovery** via [designated reporting channel/email/phone].</w:t>
      </w:r>
    </w:p>
    <w:p>
      <w:pPr>
        <w:pStyle w:val="ListBullet"/>
      </w:pPr>
      <w:r>
        <w:t>Reports must include:</w:t>
      </w:r>
    </w:p>
    <w:p>
      <w:pPr>
        <w:pStyle w:val="ListBullet"/>
      </w:pPr>
      <w:r>
        <w:t>Date/time of discovery</w:t>
      </w:r>
    </w:p>
    <w:p>
      <w:pPr>
        <w:pStyle w:val="ListBullet"/>
      </w:pPr>
      <w:r>
        <w:t>Description of incident</w:t>
      </w:r>
    </w:p>
    <w:p>
      <w:pPr>
        <w:pStyle w:val="ListBullet"/>
      </w:pPr>
      <w:r>
        <w:t>Systems/data affected</w:t>
      </w:r>
    </w:p>
    <w:p>
      <w:pPr>
        <w:pStyle w:val="ListBullet"/>
      </w:pPr>
      <w:r>
        <w:t>Any actions taken</w:t>
      </w:r>
    </w:p>
    <w:p>
      <w:pPr>
        <w:jc w:val="left"/>
      </w:pPr>
      <w:r>
        <w:rPr>
          <w:i/>
        </w:rPr>
        <w:t>**cybersecai.io Guidance:**</w:t>
      </w:r>
    </w:p>
    <w:p>
      <w:pPr>
        <w:jc w:val="left"/>
      </w:pPr>
      <w:r>
        <w:rPr>
          <w:i/>
        </w:rPr>
        <w:t>If the breach involves any of the following (as detected in recent audits)—credit card data, login credentials, tax file numbers, or Medicare numbers—reporting must be marked **URGENT** and escalated without delay.</w:t>
      </w:r>
    </w:p>
    <w:p>
      <w:pPr>
        <w:pStyle w:val="Heading2"/>
      </w:pPr>
      <w:r>
        <w:t>5.2 Initial Assessment</w:t>
      </w:r>
    </w:p>
    <w:p>
      <w:pPr>
        <w:pStyle w:val="ListBullet"/>
      </w:pPr>
      <w:r>
        <w:t>**DPO** conducts a preliminary assessment within **24 hours** of notification.</w:t>
      </w:r>
    </w:p>
    <w:p>
      <w:pPr>
        <w:pStyle w:val="ListBullet"/>
      </w:pPr>
      <w:r>
        <w:t>DPO notifies Executive Management and Legal Counsel if the breach is potentially an Eligible Data Breach.</w:t>
      </w:r>
    </w:p>
    <w:p>
      <w:pPr>
        <w:jc w:val="left"/>
      </w:pPr>
      <w:r>
        <w:rPr>
          <w:i/>
        </w:rPr>
        <w:t>**cybersecai.io Risk Intelligence:**</w:t>
      </w:r>
    </w:p>
    <w:p>
      <w:pPr>
        <w:jc w:val="left"/>
      </w:pPr>
      <w:r>
        <w:rPr>
          <w:i/>
        </w:rPr>
        <w:t>Automated analysis assigns a **High** overall risk rating to breaches involving the above data types. Quarantine affected files and systems immediately pending assessment.</w:t>
      </w:r>
    </w:p>
    <w:p>
      <w:pPr>
        <w:pStyle w:val="Heading2"/>
      </w:pPr>
      <w:r>
        <w:t>5.3 Information Sharing</w:t>
      </w:r>
    </w:p>
    <w:p>
      <w:pPr>
        <w:pStyle w:val="ListBullet"/>
      </w:pPr>
      <w:r>
        <w:t>Information about the breach is shared **only with staff who require it** for investigation, containment, or compliance purposes.</w:t>
      </w:r>
    </w:p>
    <w:p>
      <w:pPr>
        <w:pStyle w:val="ListBullet"/>
      </w:pPr>
      <w:r>
        <w:t>All communications must be marked **CONFIDENTIAL** and handled in accordance with internal security protocols.</w:t>
      </w:r>
    </w:p>
    <w:p>
      <w:pPr>
        <w:pStyle w:val="Heading2"/>
      </w:pPr>
      <w:r>
        <w:t>5.4 Ongoing Updates</w:t>
      </w:r>
    </w:p>
    <w:p>
      <w:pPr>
        <w:pStyle w:val="ListBullet"/>
      </w:pPr>
      <w:r>
        <w:t>DPO provides regular updates to Executive Management and relevant teams as the investigation progresses.</w:t>
      </w:r>
    </w:p>
    <w:p>
      <w:pPr>
        <w:pStyle w:val="ListBullet"/>
      </w:pPr>
      <w:r>
        <w:t>All updates are documented and stored securely.</w:t>
      </w:r>
    </w:p>
    <w:p>
      <w:r>
        <w:br/>
      </w:r>
    </w:p>
    <w:p>
      <w:pPr>
        <w:pStyle w:val="Heading1"/>
      </w:pPr>
      <w:r>
        <w:t>6. Regulatory and Legal Considerations</w:t>
      </w:r>
    </w:p>
    <w:p>
      <w:pPr>
        <w:pStyle w:val="ListBullet"/>
      </w:pPr>
      <w:r>
        <w:t>The DPO, in consultation with Legal Counsel, determines whether the breach is an Eligible Data Breach under the NDB scheme (Privacy Act 1988 (Cth), Part IIIC).</w:t>
      </w:r>
    </w:p>
    <w:p>
      <w:pPr>
        <w:pStyle w:val="ListBullet"/>
      </w:pPr>
      <w:r>
        <w:t>If notification to the OAIC and affected individuals is required, Executive Management approves all external communications.</w:t>
      </w:r>
    </w:p>
    <w:p>
      <w:pPr>
        <w:pStyle w:val="ListBullet"/>
      </w:pPr>
      <w:r>
        <w:t>All internal communications regarding the breach must be retained for a minimum of **7 years**.</w:t>
      </w:r>
    </w:p>
    <w:p>
      <w:pPr>
        <w:jc w:val="left"/>
      </w:pPr>
      <w:r>
        <w:rPr>
          <w:i/>
        </w:rPr>
        <w:t>**cybersecai.io Compliance Alert:**</w:t>
      </w:r>
    </w:p>
    <w:p>
      <w:pPr>
        <w:jc w:val="left"/>
      </w:pPr>
      <w:r>
        <w:rPr>
          <w:i/>
        </w:rPr>
        <w:t>- Breaches involving tax file numbers, Medicare numbers, credit card data, or login credentials must be assessed for notification under both Australian and international (GDPR, PCI DSS) requirements.</w:t>
      </w:r>
    </w:p>
    <w:p>
      <w:pPr>
        <w:jc w:val="left"/>
      </w:pPr>
      <w:r>
        <w:rPr>
          <w:i/>
        </w:rPr>
        <w:t>- Auditor-proposed actions for recent high-risk findings include immediate file quarantine and notification of data owners.</w:t>
      </w:r>
    </w:p>
    <w:p>
      <w:r>
        <w:br/>
      </w:r>
    </w:p>
    <w:p>
      <w:pPr>
        <w:pStyle w:val="Heading1"/>
      </w:pPr>
      <w:r>
        <w:t>7. Confidentiality and Record-Keeping</w:t>
      </w:r>
    </w:p>
    <w:p>
      <w:pPr>
        <w:pStyle w:val="ListBullet"/>
      </w:pPr>
      <w:r>
        <w:t>All staff must maintain strict confidentiality regarding breach details.</w:t>
      </w:r>
    </w:p>
    <w:p>
      <w:pPr>
        <w:pStyle w:val="ListBullet"/>
      </w:pPr>
      <w:r>
        <w:t>The DPO maintains a central register of all reported breaches and related communications.</w:t>
      </w:r>
    </w:p>
    <w:p>
      <w:pPr>
        <w:jc w:val="left"/>
      </w:pPr>
      <w:r>
        <w:rPr>
          <w:i/>
        </w:rPr>
        <w:t>**cybersecai.io Platform Note:**</w:t>
      </w:r>
    </w:p>
    <w:p>
      <w:pPr>
        <w:jc w:val="left"/>
      </w:pPr>
      <w:r>
        <w:rPr>
          <w:i/>
        </w:rPr>
        <w:t>The platform recommends enhanced monitoring and periodic review of access logs for files containing highly sensitive regulated data.</w:t>
      </w:r>
    </w:p>
    <w:p>
      <w:r>
        <w:br/>
      </w:r>
    </w:p>
    <w:p>
      <w:pPr>
        <w:pStyle w:val="Heading1"/>
      </w:pPr>
      <w:r>
        <w:t>8. Training and Awareness</w:t>
      </w:r>
    </w:p>
    <w:p>
      <w:pPr>
        <w:pStyle w:val="ListBullet"/>
      </w:pPr>
      <w:r>
        <w:t>All staff receive annual training on this Protocol and their reporting obligations.</w:t>
      </w:r>
    </w:p>
    <w:p>
      <w:pPr>
        <w:pStyle w:val="ListBullet"/>
      </w:pPr>
      <w:r>
        <w:t>The Protocol is reviewed and updated annually or after any significant breach event.</w:t>
      </w:r>
    </w:p>
    <w:p>
      <w:pPr>
        <w:jc w:val="left"/>
      </w:pPr>
      <w:r>
        <w:rPr>
          <w:i/>
        </w:rPr>
        <w:t>**cybersecai.io Recommendation:**</w:t>
      </w:r>
    </w:p>
    <w:p>
      <w:pPr>
        <w:jc w:val="left"/>
      </w:pPr>
      <w:r>
        <w:rPr>
          <w:i/>
        </w:rPr>
        <w:t>Mandatory refresher training is advised for any staff with access to high-risk data fields as identified in recent platform audits.</w:t>
      </w:r>
    </w:p>
    <w:p>
      <w:r>
        <w:br/>
      </w:r>
    </w:p>
    <w:p>
      <w:pPr>
        <w:pStyle w:val="Heading1"/>
      </w:pPr>
      <w:r>
        <w:t>9. Cross-References</w:t>
      </w:r>
    </w:p>
    <w:p>
      <w:pPr>
        <w:pStyle w:val="ListBullet"/>
      </w:pPr>
      <w:r>
        <w:t>[OAIC Guide to Managing Data Breaches](https://www.oaic.gov.au/privacy/guidance-and-advice/data-breach-preparation-and-response)</w:t>
      </w:r>
    </w:p>
    <w:p>
      <w:pPr>
        <w:pStyle w:val="ListBullet"/>
      </w:pPr>
      <w:r>
        <w:t>Privacy Act 1988 (Cth), Part IIIC (Notifiable Data Breaches)</w:t>
      </w:r>
    </w:p>
    <w:p>
      <w:pPr>
        <w:pStyle w:val="ListBullet"/>
      </w:pPr>
      <w:r>
        <w:t>cybersecai Pty Ltd Data Breach Response Plan</w:t>
      </w:r>
    </w:p>
    <w:p>
      <w:pPr>
        <w:pStyle w:val="ListBullet"/>
      </w:pPr>
      <w:r>
        <w:rPr>
          <w:b/>
        </w:rPr>
        <w:t>cybersecai.io Platform Audit Reports (2024)</w:t>
      </w:r>
    </w:p>
    <w:p>
      <w:r>
        <w:br/>
      </w:r>
    </w:p>
    <w:p>
      <w:r>
        <w:t xml:space="preserve">**Approved by:** [Name, Title]  </w:t>
      </w:r>
    </w:p>
    <w:p>
      <w:r>
        <w:t>**Date:** [Insert Date]</w:t>
      </w:r>
    </w:p>
    <w:p>
      <w:r>
        <w:br/>
      </w:r>
    </w:p>
    <w:p>
      <w:r>
        <w:t>**End of Protocol**</w:t>
      </w:r>
    </w:p>
    <w:p>
      <w:r>
        <w:br/>
      </w:r>
    </w:p>
    <w:p>
      <w:pPr>
        <w:jc w:val="left"/>
      </w:pPr>
      <w:r>
        <w:rPr>
          <w:i/>
        </w:rPr>
        <w:t>**Embedded Data Source:**</w:t>
      </w:r>
    </w:p>
    <w:p>
      <w:pPr>
        <w:jc w:val="left"/>
      </w:pPr>
      <w:r>
        <w:rPr>
          <w:i/>
        </w:rPr>
        <w:t>All risk assessments, auditor recommendations, and data field references in this Protocol are derived from the cybersecai.io platform's automated compliance and risk analysis of internal files and systems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