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Pepsi Pty Ltd</w:t>
      </w:r>
    </w:p>
    <w:p>
      <w:pPr>
        <w:pStyle w:val="Heading1"/>
      </w:pPr>
      <w:r>
        <w:t>Post-Breach Review Procedure</w:t>
      </w:r>
    </w:p>
    <w:p>
      <w:r>
        <w:t xml:space="preserve">**Effective Date:** [Insert Date]  </w:t>
      </w:r>
    </w:p>
    <w:p>
      <w:r>
        <w:t xml:space="preserve">**Approved By:** [Insert Approver Name/Title]  </w:t>
      </w:r>
    </w:p>
    <w:p>
      <w:r>
        <w:t>**Version:** 1.0</w:t>
      </w:r>
    </w:p>
    <w:p>
      <w:r>
        <w:br/>
      </w:r>
    </w:p>
    <w:p>
      <w:pPr>
        <w:pStyle w:val="Heading2"/>
      </w:pPr>
      <w:r>
        <w:t>1. Purpose</w:t>
      </w:r>
    </w:p>
    <w:p>
      <w:r>
        <w:t>This Procedure establishes a structured process for conducting post-breach reviews following any data breach incident at Pepsi Pty Ltd (“Company”). The objective is to identify root causes, assess response effectiveness, and implement improvements to mitigate future risks, in accordance with leading regulatory and industry standards (NIST SP 800-61r2, FTC Data Security Guidance).</w:t>
      </w:r>
    </w:p>
    <w:p>
      <w:r>
        <w:t xml:space="preserve">**Expert Note:**  </w:t>
      </w:r>
    </w:p>
    <w:p>
      <w:r>
        <w:t>Recent data analysis from the cybersecai.io platform indicates that Pepsi Pty Ltd handles a wide array of highly regulated and sensitive personal data, including but not limited to: full names, addresses, dates of birth, email addresses, bank and financial account numbers, credit card numbers, tax file numbers, driver’s license numbers, login credentials, and device IDs. These data types are subject to strict compliance requirements under GDPR, the Australian Privacy Act, and PCI DSS, and their presence significantly elevates the risk profile in the event of a breach.</w:t>
      </w:r>
    </w:p>
    <w:p>
      <w:r>
        <w:br/>
      </w:r>
    </w:p>
    <w:p>
      <w:pPr>
        <w:pStyle w:val="Heading2"/>
      </w:pPr>
      <w:r>
        <w:t>2. Scope</w:t>
      </w:r>
    </w:p>
    <w:p>
      <w:r>
        <w:t>This Procedure applies to all data breach incidents involving Company information systems, data, or personnel, regardless of severity or origin.</w:t>
      </w:r>
    </w:p>
    <w:p>
      <w:r>
        <w:t xml:space="preserve">**Expert Note:**  </w:t>
      </w:r>
    </w:p>
    <w:p>
      <w:r>
        <w:t>Based on cybersecai.io’s sensitive data mapping, the scope must explicitly include all systems and repositories where regulated data elements are stored or processed, including cloud, on-premises, and third-party platforms.</w:t>
      </w:r>
    </w:p>
    <w:p>
      <w:r>
        <w:br/>
      </w:r>
    </w:p>
    <w:p>
      <w:pPr>
        <w:pStyle w:val="Heading2"/>
      </w:pPr>
      <w:r>
        <w:t>3. Responsibilities</w:t>
      </w:r>
    </w:p>
    <w:p>
      <w:pPr>
        <w:pStyle w:val="ListBullet"/>
      </w:pPr>
      <w:r>
        <w:rPr>
          <w:b/>
        </w:rPr>
        <w:t>Chief Information Security Officer (CISO):</w:t>
      </w:r>
    </w:p>
    <w:p>
      <w:r>
        <w:t xml:space="preserve">  Overall owner of the post-breach review process; ensures compliance and reporting.</w:t>
      </w:r>
    </w:p>
    <w:p>
      <w:pPr>
        <w:pStyle w:val="ListBullet"/>
      </w:pPr>
      <w:r>
        <w:rPr>
          <w:b/>
        </w:rPr>
        <w:t>Incident Response Team (IRT):</w:t>
      </w:r>
    </w:p>
    <w:p>
      <w:r>
        <w:t xml:space="preserve">  Conducts technical and procedural analysis; documents findings.</w:t>
      </w:r>
    </w:p>
    <w:p>
      <w:pPr>
        <w:pStyle w:val="ListBullet"/>
      </w:pPr>
      <w:r>
        <w:rPr>
          <w:b/>
        </w:rPr>
        <w:t>Legal Counsel:</w:t>
      </w:r>
    </w:p>
    <w:p>
      <w:r>
        <w:t xml:space="preserve">  Assesses legal and regulatory obligations; advises on remediation and reporting.</w:t>
      </w:r>
    </w:p>
    <w:p>
      <w:pPr>
        <w:pStyle w:val="ListBullet"/>
      </w:pPr>
      <w:r>
        <w:rPr>
          <w:b/>
        </w:rPr>
        <w:t>Business Unit Leaders:</w:t>
      </w:r>
    </w:p>
    <w:p>
      <w:r>
        <w:t xml:space="preserve">  Participate in reviews; implement corrective actions within their units.</w:t>
      </w:r>
    </w:p>
    <w:p>
      <w:pPr>
        <w:pStyle w:val="ListBullet"/>
      </w:pPr>
      <w:r>
        <w:rPr>
          <w:b/>
        </w:rPr>
        <w:t>HR &amp; Training:</w:t>
      </w:r>
    </w:p>
    <w:p>
      <w:r>
        <w:t xml:space="preserve">  Coordinates awareness and training improvements as needed.</w:t>
      </w:r>
    </w:p>
    <w:p>
      <w:r>
        <w:br/>
      </w:r>
    </w:p>
    <w:p>
      <w:pPr>
        <w:pStyle w:val="Heading2"/>
      </w:pPr>
      <w:r>
        <w:t>4. Procedure</w:t>
      </w:r>
    </w:p>
    <w:p>
      <w:pPr>
        <w:pStyle w:val="Heading3"/>
      </w:pPr>
      <w:r>
        <w:t>4.1. Initiation of Review</w:t>
      </w:r>
    </w:p>
    <w:p>
      <w:pPr>
        <w:pStyle w:val="ListBullet"/>
      </w:pPr>
      <w:r>
        <w:t>Triggered within five (5) business days following containment of a data breach.</w:t>
      </w:r>
    </w:p>
    <w:p>
      <w:pPr>
        <w:pStyle w:val="ListBullet"/>
      </w:pPr>
      <w:r>
        <w:t>CISO convenes a Post-Breach Review Meeting with all relevant stakeholders.</w:t>
      </w:r>
    </w:p>
    <w:p>
      <w:pPr>
        <w:pStyle w:val="Heading3"/>
      </w:pPr>
      <w:r>
        <w:t>4.2. Documentation Collection</w:t>
      </w:r>
    </w:p>
    <w:p>
      <w:pPr>
        <w:pStyle w:val="ListBullet"/>
      </w:pPr>
      <w:r>
        <w:t>Gather all incident logs, response actions, communications, and forensic reports.</w:t>
      </w:r>
    </w:p>
    <w:p>
      <w:pPr>
        <w:pStyle w:val="ListBullet"/>
      </w:pPr>
      <w:r>
        <w:t>Secure and preserve evidence in accordance with legal and regulatory requirements.</w:t>
      </w:r>
    </w:p>
    <w:p>
      <w:r>
        <w:t xml:space="preserve">**Expert Note:**  </w:t>
      </w:r>
    </w:p>
    <w:p>
      <w:r>
        <w:t>Given the high concentration of regulated data fields (e.g., credit card numbers, tax file numbers, login credentials) identified by cybersecai.io, evidence preservation must include a chain-of-custody protocol and ensure that any files flagged for high-risk by automated tools (such as those with quarantine recommendations) are handled in accordance with legal hold requirements.</w:t>
      </w:r>
    </w:p>
    <w:p>
      <w:pPr>
        <w:pStyle w:val="Heading3"/>
      </w:pPr>
      <w:r>
        <w:t>4.3. Root Cause Analysis</w:t>
      </w:r>
    </w:p>
    <w:p>
      <w:pPr>
        <w:pStyle w:val="ListBullet"/>
      </w:pPr>
      <w:r>
        <w:t>IRT conducts a root cause analysis using recognized methodologies (e.g., “5 Whys”, fishbone diagram).</w:t>
      </w:r>
    </w:p>
    <w:p>
      <w:pPr>
        <w:pStyle w:val="ListBullet"/>
      </w:pPr>
      <w:r>
        <w:t>Identify technical, procedural, and human factors contributing to the breach.</w:t>
      </w:r>
    </w:p>
    <w:p>
      <w:r>
        <w:t xml:space="preserve">**Expert Note:**  </w:t>
      </w:r>
    </w:p>
    <w:p>
      <w:r>
        <w:t>Root cause analysis should specifically consider whether the breach involved any of the high-risk data types flagged by cybersecai.io, such as credit card numbers (PCI DSS), tax file numbers (Australian Privacy Act), or login credentials (GDPR, PCI DSS).</w:t>
      </w:r>
    </w:p>
    <w:p>
      <w:pPr>
        <w:pStyle w:val="Heading3"/>
      </w:pPr>
      <w:r>
        <w:t>4.4. Assessment of Response</w:t>
      </w:r>
    </w:p>
    <w:p>
      <w:pPr>
        <w:pStyle w:val="ListBullet"/>
      </w:pPr>
      <w:r>
        <w:t>Evaluate timeliness and effectiveness of detection, containment, eradication, and recovery.</w:t>
      </w:r>
    </w:p>
    <w:p>
      <w:pPr>
        <w:pStyle w:val="ListBullet"/>
      </w:pPr>
      <w:r>
        <w:t>Assess adequacy of internal and external communications, including regulatory notifications (e.g., FTC, state AGs, as applicable).</w:t>
      </w:r>
    </w:p>
    <w:p>
      <w:pPr>
        <w:pStyle w:val="Heading3"/>
      </w:pPr>
      <w:r>
        <w:t>4.5. Regulatory and Legal Review</w:t>
      </w:r>
    </w:p>
    <w:p>
      <w:pPr>
        <w:pStyle w:val="ListBullet"/>
      </w:pPr>
      <w:r>
        <w:t>Legal Counsel reviews compliance with applicable laws and regulations (e.g., FTC Act, state breach notification statutes, GDPR, Australian Privacy Act, PCI DSS).</w:t>
      </w:r>
    </w:p>
    <w:p>
      <w:pPr>
        <w:pStyle w:val="ListBullet"/>
      </w:pPr>
      <w:r>
        <w:t>Confirm all required notifications were made accurately and timely.</w:t>
      </w:r>
    </w:p>
    <w:p>
      <w:r>
        <w:t xml:space="preserve">**Expert Note:**  </w:t>
      </w:r>
    </w:p>
    <w:p>
      <w:r>
        <w:t>According to cybersecai.io, the presence of data such as driver’s license numbers, tax file numbers, and credit card information triggers mandatory notification obligations under GDPR (Articles 33 and 34), the Australian Privacy Act (NDB Scheme), and PCI DSS incident reporting requirements. Failure to notify may result in significant penalties.</w:t>
      </w:r>
    </w:p>
    <w:p>
      <w:pPr>
        <w:pStyle w:val="Heading3"/>
      </w:pPr>
      <w:r>
        <w:t>4.6. Lessons Learned &amp; Recommendations</w:t>
      </w:r>
    </w:p>
    <w:p>
      <w:pPr>
        <w:pStyle w:val="ListBullet"/>
      </w:pPr>
      <w:r>
        <w:t>Document lessons learned, including gaps in controls, policies, or training.</w:t>
      </w:r>
    </w:p>
    <w:p>
      <w:pPr>
        <w:pStyle w:val="ListBullet"/>
      </w:pPr>
      <w:r>
        <w:t>Develop specific, actionable recommendations for improvement.</w:t>
      </w:r>
    </w:p>
    <w:p>
      <w:r>
        <w:t xml:space="preserve">**Expert Note:**  </w:t>
      </w:r>
    </w:p>
    <w:p>
      <w:r>
        <w:t>cybersecai.io’s auditor agent views highlight recurring gaps in the handling and segregation of sensitive data. Recommendations should focus on data minimization, encryption, access controls, and regular automated scanning for regulated data fields.</w:t>
      </w:r>
    </w:p>
    <w:p>
      <w:pPr>
        <w:pStyle w:val="Heading3"/>
      </w:pPr>
      <w:r>
        <w:t>4.7. Action Plan &amp; Implementation</w:t>
      </w:r>
    </w:p>
    <w:p>
      <w:pPr>
        <w:pStyle w:val="ListBullet"/>
      </w:pPr>
      <w:r>
        <w:t>Assign responsibility and deadlines for each recommendation.</w:t>
      </w:r>
    </w:p>
    <w:p>
      <w:pPr>
        <w:pStyle w:val="ListBullet"/>
      </w:pPr>
      <w:r>
        <w:t>Track progress and completion of corrective actions.</w:t>
      </w:r>
    </w:p>
    <w:p>
      <w:pPr>
        <w:pStyle w:val="ListBullet"/>
      </w:pPr>
      <w:r>
        <w:t>Update policies, procedures, and training as necessary.</w:t>
      </w:r>
    </w:p>
    <w:p>
      <w:pPr>
        <w:pStyle w:val="Heading3"/>
      </w:pPr>
      <w:r>
        <w:t>4.8. Reporting</w:t>
      </w:r>
    </w:p>
    <w:p>
      <w:pPr>
        <w:pStyle w:val="ListBullet"/>
      </w:pPr>
      <w:r>
        <w:t>Prepare a Post-Breach Review Report summarizing findings, actions taken, and improvement plan.</w:t>
      </w:r>
    </w:p>
    <w:p>
      <w:pPr>
        <w:pStyle w:val="ListBullet"/>
      </w:pPr>
      <w:r>
        <w:t>Distribute to executive management and retain for regulatory inspection.</w:t>
      </w:r>
    </w:p>
    <w:p>
      <w:r>
        <w:t xml:space="preserve">**Expert Note:**  </w:t>
      </w:r>
    </w:p>
    <w:p>
      <w:r>
        <w:t>Reports should explicitly reference the types of regulated data involved, as identified by cybersecai.io, and document all steps taken to mitigate risks associated with high-risk data elements.</w:t>
      </w:r>
    </w:p>
    <w:p>
      <w:r>
        <w:br/>
      </w:r>
    </w:p>
    <w:p>
      <w:pPr>
        <w:pStyle w:val="Heading2"/>
      </w:pPr>
      <w:r>
        <w:t>5. Regulatory Cross-References</w:t>
      </w:r>
    </w:p>
    <w:p>
      <w:pPr>
        <w:pStyle w:val="ListBullet"/>
      </w:pPr>
      <w:r>
        <w:t>**NIST SP 800-61r2:** Computer Security Incident Handling Guide (Section 3.4.4: Post-Incident Activity)</w:t>
      </w:r>
    </w:p>
    <w:p>
      <w:pPr>
        <w:pStyle w:val="ListBullet"/>
      </w:pPr>
      <w:r>
        <w:t>**FTC Data Security Guidance:** Reasonable security measures and breach response expectations</w:t>
      </w:r>
    </w:p>
    <w:p>
      <w:pPr>
        <w:pStyle w:val="ListBullet"/>
      </w:pPr>
      <w:r>
        <w:t>**GDPR:** Articles 33 &amp; 34 (Breach Notification)</w:t>
      </w:r>
    </w:p>
    <w:p>
      <w:pPr>
        <w:pStyle w:val="ListBullet"/>
      </w:pPr>
      <w:r>
        <w:t>**Australian Privacy Act:** Notifiable Data Breaches (NDB) Scheme</w:t>
      </w:r>
    </w:p>
    <w:p>
      <w:pPr>
        <w:pStyle w:val="ListBullet"/>
      </w:pPr>
      <w:r>
        <w:t>**PCI DSS:** Requirement 12.10 (Incident Response)</w:t>
      </w:r>
    </w:p>
    <w:p>
      <w:pPr>
        <w:pStyle w:val="ListBullet"/>
      </w:pPr>
      <w:r>
        <w:t>**State Data Breach Notification Laws:** E.g., California Civil Code §1798.82, New York Gen. Bus. Law §899-aa</w:t>
      </w:r>
    </w:p>
    <w:p>
      <w:r>
        <w:t xml:space="preserve">**Expert Note:**  </w:t>
      </w:r>
    </w:p>
    <w:p>
      <w:r>
        <w:t>cybersecai.io’s analysis confirms that Pepsi Pty Ltd’s data environment is subject to multiple overlapping regulatory regimes due to the nature and sensitivity of the data processed.</w:t>
      </w:r>
    </w:p>
    <w:p>
      <w:r>
        <w:br/>
      </w:r>
    </w:p>
    <w:p>
      <w:pPr>
        <w:pStyle w:val="Heading2"/>
      </w:pPr>
      <w:r>
        <w:t>6. Review and Maintenance</w:t>
      </w:r>
    </w:p>
    <w:p>
      <w:r>
        <w:t>This Procedure shall be reviewed annually or following any significant data breach, and updated as necessary to ensure ongoing compliance and effectiveness.</w:t>
      </w:r>
    </w:p>
    <w:p>
      <w:r>
        <w:t xml:space="preserve">**Expert Note:**  </w:t>
      </w:r>
    </w:p>
    <w:p>
      <w:r>
        <w:t>Annual reviews must include a reassessment of the data inventory and risk profile, leveraging automated sensitive data discovery tools such as those provided by cybersecai.io, to ensure emerging data types and regulatory requirements are captured.</w:t>
      </w:r>
    </w:p>
    <w:p>
      <w:r>
        <w:br/>
      </w:r>
    </w:p>
    <w:p>
      <w:r>
        <w:t xml:space="preserve">**Contact:**  </w:t>
      </w:r>
    </w:p>
    <w:p>
      <w:r>
        <w:t>For questions regarding this Procedure, contact the CISO or Legal Department.</w:t>
      </w:r>
    </w:p>
    <w:p>
      <w:r>
        <w:br/>
      </w:r>
    </w:p>
    <w:p>
      <w:r>
        <w:t xml:space="preserve">**Data Source:**  </w:t>
      </w:r>
    </w:p>
    <w:p>
      <w:r>
        <w:t>All sensitive data risk and regulatory mapping referenced in this document is based on expert analysis and automated discovery from the cybersecai.io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