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Oakville HealthCare Provider</w:t>
      </w:r>
    </w:p>
    <w:p>
      <w:pPr>
        <w:pStyle w:val="Heading1"/>
      </w:pPr>
      <w:r>
        <w:t>Post-Breach Review and Improvement Policy</w:t>
      </w:r>
    </w:p>
    <w:p>
      <w:r>
        <w:t xml:space="preserve">**Effective Date:** [Insert Date]  </w:t>
      </w:r>
    </w:p>
    <w:p>
      <w:r>
        <w:t xml:space="preserve">**Approved By:** [Insert Approving Authority]  </w:t>
      </w:r>
    </w:p>
    <w:p>
      <w:r>
        <w:t>**Version:** 1.0</w:t>
      </w:r>
    </w:p>
    <w:p>
      <w:r>
        <w:br/>
      </w:r>
    </w:p>
    <w:p>
      <w:pPr>
        <w:pStyle w:val="Heading2"/>
      </w:pPr>
      <w:r>
        <w:t>1. Purpose</w:t>
      </w:r>
    </w:p>
    <w:p>
      <w:r>
        <w:t>This Policy establishes a structured process for reviewing Oakville HealthCare Provider’s response to privacy and security breaches, identifying lessons learned, and implementing improvements. The objective is to strengthen breach management capabilities and support continuous improvement, in alignment with best practices and the requirements of the Personal Information Protection and Electronic Documents Act (PIPEDA), as well as other applicable global privacy and security frameworks.</w:t>
      </w:r>
    </w:p>
    <w:p>
      <w:r>
        <w:br/>
      </w:r>
    </w:p>
    <w:p>
      <w:pPr>
        <w:pStyle w:val="Heading2"/>
      </w:pPr>
      <w:r>
        <w:t>2. Scope</w:t>
      </w:r>
    </w:p>
    <w:p>
      <w:r>
        <w:t xml:space="preserve">This Policy applies to all privacy and security breaches involving personal information under the custody or control of Oakville HealthCare Provider, including those affecting employees, patients, contractors, and third-party service providers.  </w:t>
      </w:r>
    </w:p>
    <w:p>
      <w:r>
        <w:t>**Note:** Based on recent data analysis from the cybersecai.io platform, Oakville HealthCare Provider processes information that is regulated under multiple frameworks, including PIPEDA, GDPR (EU/EEA), the Australian Privacy Act, CCPA/CPRA (California), and PCI DSS (global payment standards). Detected sensitive fields include, but are not limited to, full name, date of birth, address, email address, phone number, bank account and credit card numbers, driver's license, tax IDs, and login credentials.</w:t>
      </w:r>
    </w:p>
    <w:p>
      <w:r>
        <w:br/>
      </w:r>
    </w:p>
    <w:p>
      <w:pPr>
        <w:pStyle w:val="Heading2"/>
      </w:pPr>
      <w:r>
        <w:t>3. Policy Statement</w:t>
      </w:r>
    </w:p>
    <w:p>
      <w:r>
        <w:t>Oakville HealthCare Provider is committed to learning from all privacy and security incidents. Following each breach, a formal review shall be conducted to assess the effectiveness of the response, identify root causes, and implement corrective and preventive measures. This process is integral to our privacy management program and risk mitigation obligations under PIPEDA and other applicable privacy laws and standards.</w:t>
      </w:r>
    </w:p>
    <w:p>
      <w:r>
        <w:br/>
      </w:r>
    </w:p>
    <w:p>
      <w:pPr>
        <w:pStyle w:val="Heading2"/>
      </w:pPr>
      <w:r>
        <w:t>4. Responsibilities</w:t>
      </w:r>
    </w:p>
    <w:p>
      <w:pPr>
        <w:pStyle w:val="Heading3"/>
      </w:pPr>
      <w:r>
        <w:t>4.1 Privacy Officer</w:t>
      </w:r>
    </w:p>
    <w:p>
      <w:pPr>
        <w:pStyle w:val="ListBullet"/>
      </w:pPr>
      <w:r>
        <w:t>Leads the post-breach review process.</w:t>
      </w:r>
    </w:p>
    <w:p>
      <w:pPr>
        <w:pStyle w:val="ListBullet"/>
      </w:pPr>
      <w:r>
        <w:t>Ensures documentation of findings and recommendations.</w:t>
      </w:r>
    </w:p>
    <w:p>
      <w:pPr>
        <w:pStyle w:val="ListBullet"/>
      </w:pPr>
      <w:r>
        <w:t>Reports outcomes to Senior Management and, where appropriate, the Board.</w:t>
      </w:r>
    </w:p>
    <w:p>
      <w:pPr>
        <w:pStyle w:val="Heading3"/>
      </w:pPr>
      <w:r>
        <w:t>4.2 Information Security Officer</w:t>
      </w:r>
    </w:p>
    <w:p>
      <w:pPr>
        <w:pStyle w:val="ListBullet"/>
      </w:pPr>
      <w:r>
        <w:t>Provides technical analysis of breach causes and response effectiveness.</w:t>
      </w:r>
    </w:p>
    <w:p>
      <w:pPr>
        <w:pStyle w:val="ListBullet"/>
      </w:pPr>
      <w:r>
        <w:t>Recommends technical improvements, including those identified by cybersecai.io such as encryption, access controls, and incident response enhancements.</w:t>
      </w:r>
    </w:p>
    <w:p>
      <w:pPr>
        <w:pStyle w:val="Heading3"/>
      </w:pPr>
      <w:r>
        <w:t>4.3 Breach Response Team</w:t>
      </w:r>
    </w:p>
    <w:p>
      <w:pPr>
        <w:pStyle w:val="ListBullet"/>
      </w:pPr>
      <w:r>
        <w:t>Participates in the review process.</w:t>
      </w:r>
    </w:p>
    <w:p>
      <w:pPr>
        <w:pStyle w:val="ListBullet"/>
      </w:pPr>
      <w:r>
        <w:t>Supports implementation of approved improvements.</w:t>
      </w:r>
    </w:p>
    <w:p>
      <w:pPr>
        <w:pStyle w:val="Heading3"/>
      </w:pPr>
      <w:r>
        <w:t>4.4 Human Resources &amp; Training</w:t>
      </w:r>
    </w:p>
    <w:p>
      <w:pPr>
        <w:pStyle w:val="ListBullet"/>
      </w:pPr>
      <w:r>
        <w:t>Updates training materials and programs as required, reflecting lessons learned and new controls.</w:t>
      </w:r>
    </w:p>
    <w:p>
      <w:pPr>
        <w:pStyle w:val="Heading3"/>
      </w:pPr>
      <w:r>
        <w:t>4.5 All Staff</w:t>
      </w:r>
    </w:p>
    <w:p>
      <w:pPr>
        <w:pStyle w:val="ListBullet"/>
      </w:pPr>
      <w:r>
        <w:t>Cooperate fully with post-breach reviews.</w:t>
      </w:r>
    </w:p>
    <w:p>
      <w:pPr>
        <w:pStyle w:val="ListBullet"/>
      </w:pPr>
      <w:r>
        <w:t>Implement changes as directed.</w:t>
      </w:r>
    </w:p>
    <w:p>
      <w:r>
        <w:br/>
      </w:r>
    </w:p>
    <w:p>
      <w:pPr>
        <w:pStyle w:val="Heading2"/>
      </w:pPr>
      <w:r>
        <w:t>5. Post-Breach Review Process</w:t>
      </w:r>
    </w:p>
    <w:p>
      <w:pPr>
        <w:pStyle w:val="Heading3"/>
      </w:pPr>
      <w:r>
        <w:t>5.1 Initiation</w:t>
      </w:r>
    </w:p>
    <w:p>
      <w:pPr>
        <w:pStyle w:val="ListBullet"/>
      </w:pPr>
      <w:r>
        <w:t>The Privacy Officer shall initiate a review within 10 business days of breach containment.</w:t>
      </w:r>
    </w:p>
    <w:p>
      <w:pPr>
        <w:pStyle w:val="Heading3"/>
      </w:pPr>
      <w:r>
        <w:t>5.2 Review Meeting</w:t>
      </w:r>
    </w:p>
    <w:p>
      <w:pPr>
        <w:pStyle w:val="ListBullet"/>
      </w:pPr>
      <w:r>
        <w:t>Convene a meeting with the Breach Response Team and relevant stakeholders.</w:t>
      </w:r>
    </w:p>
    <w:p>
      <w:pPr>
        <w:pStyle w:val="ListBullet"/>
      </w:pPr>
      <w:r>
        <w:t>Review the breach chronology, response actions, and communications.</w:t>
      </w:r>
    </w:p>
    <w:p>
      <w:pPr>
        <w:pStyle w:val="Heading3"/>
      </w:pPr>
      <w:r>
        <w:t>5.3 Root Cause Analysis</w:t>
      </w:r>
    </w:p>
    <w:p>
      <w:pPr>
        <w:pStyle w:val="ListBullet"/>
      </w:pPr>
      <w:r>
        <w:t>Conduct a root cause analysis to determine contributing factors (technical, human, procedural).</w:t>
      </w:r>
    </w:p>
    <w:p>
      <w:pPr>
        <w:pStyle w:val="ListBullet"/>
      </w:pPr>
      <w:r>
        <w:t>Leverage cybersecai.io platform insights to identify any gaps in technical controls or compliance with international standards (e.g., ISO/IEC 27001, NIST SP 800-53).</w:t>
      </w:r>
    </w:p>
    <w:p>
      <w:pPr>
        <w:pStyle w:val="Heading3"/>
      </w:pPr>
      <w:r>
        <w:t>5.4 Assessment of Response</w:t>
      </w:r>
    </w:p>
    <w:p>
      <w:pPr>
        <w:pStyle w:val="ListBullet"/>
      </w:pPr>
      <w:r>
        <w:t>Evaluate the timeliness and effectiveness of detection, containment, notification, and mitigation actions.</w:t>
      </w:r>
    </w:p>
    <w:p>
      <w:pPr>
        <w:pStyle w:val="ListBullet"/>
      </w:pPr>
      <w:r>
        <w:t>Assess compliance with Oakville HealthCare Provider’s Breach Response Policy, PIPEDA requirements (Sections 10.1–10.3), and other applicable regulations (GDPR, Australian Privacy Act, CCPA/CPRA, PCI DSS) as highlighted by cybersecai.io.</w:t>
      </w:r>
    </w:p>
    <w:p>
      <w:pPr>
        <w:pStyle w:val="Heading3"/>
      </w:pPr>
      <w:r>
        <w:t>5.5 Recommendations</w:t>
      </w:r>
    </w:p>
    <w:p>
      <w:pPr>
        <w:pStyle w:val="ListBullet"/>
      </w:pPr>
      <w:r>
        <w:t>Identify corrective actions to address root causes.</w:t>
      </w:r>
    </w:p>
    <w:p>
      <w:pPr>
        <w:pStyle w:val="ListBullet"/>
      </w:pPr>
      <w:r>
        <w:t>Recommend preventive measures to reduce recurrence risk, including but not limited to:</w:t>
      </w:r>
    </w:p>
    <w:p>
      <w:pPr>
        <w:pStyle w:val="ListBullet"/>
      </w:pPr>
      <w:r>
        <w:t>**Data minimization and access controls** (ISO/IEC 27001:2013 A.9, A.18)</w:t>
      </w:r>
    </w:p>
    <w:p>
      <w:pPr>
        <w:pStyle w:val="ListBullet"/>
      </w:pPr>
      <w:r>
        <w:t>**Encryption at rest and in transit** (ISO/IEC 27002:2022, NIST SP 800-53 SC-13, SC-28)</w:t>
      </w:r>
    </w:p>
    <w:p>
      <w:pPr>
        <w:pStyle w:val="ListBullet"/>
      </w:pPr>
      <w:r>
        <w:t>**Regular risk assessments and audits** (ISO/IEC 27005, NIST SP 800-30)</w:t>
      </w:r>
    </w:p>
    <w:p>
      <w:pPr>
        <w:pStyle w:val="ListBullet"/>
      </w:pPr>
      <w:r>
        <w:t>**Multi-factor authentication and strong authentication/authorization** (ISO/IEC 27001 A.9, NIST AC-2, IA-2)</w:t>
      </w:r>
    </w:p>
    <w:p>
      <w:pPr>
        <w:pStyle w:val="ListBullet"/>
      </w:pPr>
      <w:r>
        <w:t>**Incident response and breach notification procedures** (ISO/IEC 27035, NIST IR-4)</w:t>
      </w:r>
    </w:p>
    <w:p>
      <w:pPr>
        <w:pStyle w:val="ListBullet"/>
      </w:pPr>
      <w:r>
        <w:t>**Data retention and secure disposal** (ISO/IEC 27001 A.8.3, NIST MP-6)</w:t>
      </w:r>
    </w:p>
    <w:p>
      <w:pPr>
        <w:pStyle w:val="ListBullet"/>
      </w:pPr>
      <w:r>
        <w:t>**Security awareness training** (ISO/IEC 27001 A.7, NIST AT-2)</w:t>
      </w:r>
    </w:p>
    <w:p>
      <w:pPr>
        <w:pStyle w:val="ListBullet"/>
      </w:pPr>
      <w:r>
        <w:t>**Data loss prevention (DLP) solutions** (ISO 27001 A.8, NIST SI-4)</w:t>
      </w:r>
    </w:p>
    <w:p>
      <w:pPr>
        <w:pStyle w:val="ListBullet"/>
      </w:pPr>
      <w:r>
        <w:t>**Vulnerability assessments and penetration testing** (ISO 27001:2013 A.12.6.1, NIST SP 800-53 RA-5)</w:t>
      </w:r>
    </w:p>
    <w:p>
      <w:pPr>
        <w:pStyle w:val="ListBullet"/>
      </w:pPr>
      <w:r>
        <w:t>**Audit logging and monitoring** (ISO 27001:2013 A.12.4, NIST SP 800-53 AU-6)</w:t>
      </w:r>
    </w:p>
    <w:p>
      <w:r>
        <w:t xml:space="preserve">    *Controls above are based on recommendations from the cybersecai.io platform, which rated the overall risk as "High" due to the presence of highly sensitive personal and financial data.*</w:t>
      </w:r>
    </w:p>
    <w:p>
      <w:pPr>
        <w:pStyle w:val="Heading3"/>
      </w:pPr>
      <w:r>
        <w:t>5.6 Documentation</w:t>
      </w:r>
    </w:p>
    <w:p>
      <w:pPr>
        <w:pStyle w:val="ListBullet"/>
      </w:pPr>
      <w:r>
        <w:t>Document findings, recommendations, and action items in a Post-Breach Review Report.</w:t>
      </w:r>
    </w:p>
    <w:p>
      <w:pPr>
        <w:pStyle w:val="ListBullet"/>
      </w:pPr>
      <w:r>
        <w:t>Maintain records in accordance with PIPEDA Section 10.3 (breach record-keeping) and other applicable standards.</w:t>
      </w:r>
    </w:p>
    <w:p>
      <w:pPr>
        <w:pStyle w:val="Heading3"/>
      </w:pPr>
      <w:r>
        <w:t>5.7 Implementation and Follow-Up</w:t>
      </w:r>
    </w:p>
    <w:p>
      <w:pPr>
        <w:pStyle w:val="ListBullet"/>
      </w:pPr>
      <w:r>
        <w:t>Assign responsibility and timelines for each action item.</w:t>
      </w:r>
    </w:p>
    <w:p>
      <w:pPr>
        <w:pStyle w:val="ListBullet"/>
      </w:pPr>
      <w:r>
        <w:t>Monitor implementation and report progress to Senior Management.</w:t>
      </w:r>
    </w:p>
    <w:p>
      <w:pPr>
        <w:pStyle w:val="ListBullet"/>
      </w:pPr>
      <w:r>
        <w:t>Review effectiveness of implemented measures at regular intervals.</w:t>
      </w:r>
    </w:p>
    <w:p>
      <w:r>
        <w:br/>
      </w:r>
    </w:p>
    <w:p>
      <w:pPr>
        <w:pStyle w:val="Heading2"/>
      </w:pPr>
      <w:r>
        <w:t>6. Regulatory Cross-References</w:t>
      </w:r>
    </w:p>
    <w:p>
      <w:pPr>
        <w:pStyle w:val="ListBullet"/>
      </w:pPr>
      <w:r>
        <w:t>**PIPEDA Section 10.1:** Breach of security safeguards—report to Commissioner.</w:t>
      </w:r>
    </w:p>
    <w:p>
      <w:pPr>
        <w:pStyle w:val="ListBullet"/>
      </w:pPr>
      <w:r>
        <w:t>**PIPEDA Section 10.2:** Notification to affected individuals.</w:t>
      </w:r>
    </w:p>
    <w:p>
      <w:pPr>
        <w:pStyle w:val="ListBullet"/>
      </w:pPr>
      <w:r>
        <w:t>**PIPEDA Section 10.3:** Record-keeping of breaches.</w:t>
      </w:r>
    </w:p>
    <w:p>
      <w:pPr>
        <w:pStyle w:val="ListBullet"/>
      </w:pPr>
      <w:r>
        <w:t>**GDPR Articles 33 &amp; 34:** Notification of a personal data breach to the supervisory authority and to data subjects.</w:t>
      </w:r>
    </w:p>
    <w:p>
      <w:pPr>
        <w:pStyle w:val="ListBullet"/>
      </w:pPr>
      <w:r>
        <w:t>**Australian Privacy Act (NDB Scheme):** Notifiable Data Breaches requirements.</w:t>
      </w:r>
    </w:p>
    <w:p>
      <w:pPr>
        <w:pStyle w:val="ListBullet"/>
      </w:pPr>
      <w:r>
        <w:t>**CCPA/CPRA:** California breach notification and consumer rights.</w:t>
      </w:r>
    </w:p>
    <w:p>
      <w:pPr>
        <w:pStyle w:val="ListBullet"/>
      </w:pPr>
      <w:r>
        <w:t>**PCI DSS:** Payment card breach response and reporting.</w:t>
      </w:r>
    </w:p>
    <w:p>
      <w:pPr>
        <w:pStyle w:val="ListBullet"/>
      </w:pPr>
      <w:r>
        <w:t>**OPC Guidance:** “What you need to know about mandatory reporting of breaches of security safeguards” (Office of the Privacy Commissioner of Canada).</w:t>
      </w:r>
    </w:p>
    <w:p>
      <w:r>
        <w:br/>
      </w:r>
    </w:p>
    <w:p>
      <w:pPr>
        <w:pStyle w:val="Heading2"/>
      </w:pPr>
      <w:r>
        <w:t>7. Continuous Improvement</w:t>
      </w:r>
    </w:p>
    <w:p>
      <w:r>
        <w:t xml:space="preserve">This Policy shall be reviewed annually, or following any significant breach, to ensure ongoing effectiveness and compliance with evolving legal and regulatory requirements.  </w:t>
      </w:r>
    </w:p>
    <w:p>
      <w:r>
        <w:t>*The cybersecai.io platform recommends periodic reassessment of risk and controls, especially in light of the high-risk classification and evolving threat landscape.*</w:t>
      </w:r>
    </w:p>
    <w:p>
      <w:r>
        <w:br/>
      </w:r>
    </w:p>
    <w:p>
      <w:pPr>
        <w:pStyle w:val="Heading2"/>
      </w:pPr>
      <w:r>
        <w:t>8. Related Policies</w:t>
      </w:r>
    </w:p>
    <w:p>
      <w:pPr>
        <w:pStyle w:val="ListBullet"/>
      </w:pPr>
      <w:r>
        <w:t>Breach Response Policy</w:t>
      </w:r>
    </w:p>
    <w:p>
      <w:pPr>
        <w:pStyle w:val="ListBullet"/>
      </w:pPr>
      <w:r>
        <w:t>Privacy Management Program</w:t>
      </w:r>
    </w:p>
    <w:p>
      <w:pPr>
        <w:pStyle w:val="ListBullet"/>
      </w:pPr>
      <w:r>
        <w:t>Information Security Policy</w:t>
      </w:r>
    </w:p>
    <w:p>
      <w:pPr>
        <w:pStyle w:val="ListBullet"/>
      </w:pPr>
      <w:r>
        <w:t>Employee Training and Awareness Policy</w:t>
      </w:r>
    </w:p>
    <w:p>
      <w:r>
        <w:br/>
      </w:r>
    </w:p>
    <w:p>
      <w:r>
        <w:t>**For questions regarding this Policy, contact the Privacy Officer at [contact information].**</w:t>
      </w:r>
    </w:p>
    <w:p>
      <w:r>
        <w:br/>
      </w:r>
    </w:p>
    <w:p>
      <w:r>
        <w:t xml:space="preserve">*This Policy is intended as a best practice to support Oakville HealthCare Provider’s compliance obligations and commitment to privacy and security excellence.  </w:t>
      </w:r>
    </w:p>
    <w:p>
      <w:r>
        <w:t>Data classification, risk ratings, and control recommendations are informed by the cybersecai.io platform’s analysis of regulated data fields and international standards compliance.*</w:t>
      </w:r>
    </w:p>
    <w:p>
      <w:r>
        <w:t>```</w:t>
      </w:r>
    </w:p>
    <w:p>
      <w:r>
        <w:t>**Source of embedded data and risk/control recommendations: cybersecai.io platform.**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