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Post-Incident Review Procedure</w:t>
      </w:r>
    </w:p>
    <w:p>
      <w:r>
        <w:t xml:space="preserve">**cybersecai Pty Ltd**  </w:t>
      </w:r>
    </w:p>
    <w:p>
      <w:r>
        <w:t xml:space="preserve">**Version:** 1.0  </w:t>
      </w:r>
    </w:p>
    <w:p>
      <w:r>
        <w:t xml:space="preserve">**Effective Date:** [Insert Date]  </w:t>
      </w:r>
    </w:p>
    <w:p>
      <w:r>
        <w:t xml:space="preserve">**Owner:** Chief Information Security Officer (CISO)  </w:t>
      </w:r>
    </w:p>
    <w:p>
      <w:r>
        <w:t>**Review Cycle:** Annual or following any notifiable data breach</w:t>
      </w:r>
    </w:p>
    <w:p>
      <w:r>
        <w:br/>
      </w:r>
    </w:p>
    <w:p>
      <w:pPr>
        <w:pStyle w:val="Heading1"/>
      </w:pPr>
      <w:r>
        <w:t>1. Purpose</w:t>
      </w:r>
    </w:p>
    <w:p>
      <w:r>
        <w:t>This Procedure establishes a structured process for reviewing, analysing, and learning from data breach incidents at cybersecai Pty Ltd. It aims to ensure compliance with the Privacy Act 1988 (Cth), the Notifiable Data Breaches (NDB) Scheme, and OAIC guidance, and to drive continuous improvement in our information security and privacy practices.</w:t>
      </w:r>
    </w:p>
    <w:p>
      <w:r>
        <w:br/>
      </w:r>
    </w:p>
    <w:p>
      <w:pPr>
        <w:pStyle w:val="Heading1"/>
      </w:pPr>
      <w:r>
        <w:t>2. Scope</w:t>
      </w:r>
    </w:p>
    <w:p>
      <w:r>
        <w:t>This Procedure applies to all data breach incidents involving personal information held by cybersecai Pty Ltd, regardless of whether the breach is notifiable under the NDB Scheme.</w:t>
      </w:r>
    </w:p>
    <w:p>
      <w:r>
        <w:br/>
      </w:r>
    </w:p>
    <w:p>
      <w:pPr>
        <w:pStyle w:val="Heading1"/>
      </w:pPr>
      <w: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CISO</w:t>
            </w:r>
          </w:p>
        </w:tc>
        <w:tc>
          <w:tcPr>
            <w:tcW w:type="dxa" w:w="4320"/>
          </w:tcPr>
          <w:p>
            <w:r>
              <w:t>Procedure owner; ensures review is conducted and actions are tracked.</w:t>
            </w:r>
          </w:p>
        </w:tc>
      </w:tr>
      <w:tr>
        <w:tc>
          <w:tcPr>
            <w:tcW w:type="dxa" w:w="4320"/>
          </w:tcPr>
          <w:p>
            <w:r>
              <w:t>Data Breach Response Team</w:t>
            </w:r>
          </w:p>
        </w:tc>
        <w:tc>
          <w:tcPr>
            <w:tcW w:type="dxa" w:w="4320"/>
          </w:tcPr>
          <w:p>
            <w:r>
              <w:t>Conducts incident analysis and prepares review documentation.</w:t>
            </w:r>
          </w:p>
        </w:tc>
      </w:tr>
      <w:tr>
        <w:tc>
          <w:tcPr>
            <w:tcW w:type="dxa" w:w="4320"/>
          </w:tcPr>
          <w:p>
            <w:r>
              <w:t>Legal Counsel</w:t>
            </w:r>
          </w:p>
        </w:tc>
        <w:tc>
          <w:tcPr>
            <w:tcW w:type="dxa" w:w="4320"/>
          </w:tcPr>
          <w:p>
            <w:r>
              <w:t>Advises on regulatory obligations and legal risks.</w:t>
            </w:r>
          </w:p>
        </w:tc>
      </w:tr>
      <w:tr>
        <w:tc>
          <w:tcPr>
            <w:tcW w:type="dxa" w:w="4320"/>
          </w:tcPr>
          <w:p>
            <w:r>
              <w:t>Privacy Officer</w:t>
            </w:r>
          </w:p>
        </w:tc>
        <w:tc>
          <w:tcPr>
            <w:tcW w:type="dxa" w:w="4320"/>
          </w:tcPr>
          <w:p>
            <w:r>
              <w:t>Ensures alignment with privacy obligations and OAIC guidance.</w:t>
            </w:r>
          </w:p>
        </w:tc>
      </w:tr>
      <w:tr>
        <w:tc>
          <w:tcPr>
            <w:tcW w:type="dxa" w:w="4320"/>
          </w:tcPr>
          <w:p>
            <w:r>
              <w:t>IT Security Manager</w:t>
            </w:r>
          </w:p>
        </w:tc>
        <w:tc>
          <w:tcPr>
            <w:tcW w:type="dxa" w:w="4320"/>
          </w:tcPr>
          <w:p>
            <w:r>
              <w:t>Provides technical analysis and recommendations.</w:t>
            </w:r>
          </w:p>
        </w:tc>
      </w:tr>
      <w:tr>
        <w:tc>
          <w:tcPr>
            <w:tcW w:type="dxa" w:w="4320"/>
          </w:tcPr>
          <w:p>
            <w:r>
              <w:t>Business Unit Managers</w:t>
            </w:r>
          </w:p>
        </w:tc>
        <w:tc>
          <w:tcPr>
            <w:tcW w:type="dxa" w:w="4320"/>
          </w:tcPr>
          <w:p>
            <w:r>
              <w:t>Implement corrective actions within their areas.</w:t>
            </w:r>
          </w:p>
        </w:tc>
      </w:tr>
    </w:tbl>
    <w:p>
      <w:r>
        <w:br/>
      </w:r>
    </w:p>
    <w:p>
      <w:pPr>
        <w:pStyle w:val="Heading1"/>
      </w:pPr>
      <w:r>
        <w:t>4. Procedure Steps</w:t>
      </w:r>
    </w:p>
    <w:p>
      <w:pPr>
        <w:pStyle w:val="Heading2"/>
      </w:pPr>
      <w:r>
        <w:t>4.1. Initiation</w:t>
      </w:r>
    </w:p>
    <w:p>
      <w:pPr>
        <w:pStyle w:val="ListBullet"/>
      </w:pPr>
      <w:r>
        <w:t>**Trigger:** Completion of initial incident response and containment.</w:t>
      </w:r>
    </w:p>
    <w:p>
      <w:pPr>
        <w:pStyle w:val="ListBullet"/>
      </w:pPr>
      <w:r>
        <w:t>**Responsible:** CISO initiates the post-incident review within 10 business days of incident closure.</w:t>
      </w:r>
    </w:p>
    <w:p>
      <w:pPr>
        <w:pStyle w:val="Heading2"/>
      </w:pPr>
      <w:r>
        <w:t>4.2. Information Gathering</w:t>
      </w:r>
    </w:p>
    <w:p>
      <w:pPr>
        <w:pStyle w:val="ListBullet"/>
      </w:pPr>
      <w:r>
        <w:t>Collect all relevant documentation (incident reports, logs, communications).</w:t>
      </w:r>
    </w:p>
    <w:p>
      <w:pPr>
        <w:pStyle w:val="ListBullet"/>
      </w:pPr>
      <w:r>
        <w:t>Interview key personnel involved in detection, response, and recovery.</w:t>
      </w:r>
    </w:p>
    <w:p>
      <w:pPr>
        <w:pStyle w:val="ListBullet"/>
      </w:pPr>
      <w:r>
        <w:t>Identify timeline of events and decision points.</w:t>
      </w:r>
    </w:p>
    <w:p>
      <w:r>
        <w:t xml:space="preserve">**Expert Note:**  </w:t>
      </w:r>
    </w:p>
    <w:p>
      <w:r>
        <w:t>Based on recent data breach reviews conducted via the cybersecai.io platform, it is critical to specifically identify and document all categories of regulated data involved in the incident. For example, incidents may include exposure of:</w:t>
      </w:r>
    </w:p>
    <w:p>
      <w:pPr>
        <w:pStyle w:val="ListBullet"/>
      </w:pPr>
      <w:r>
        <w:t>Full Name</w:t>
      </w:r>
    </w:p>
    <w:p>
      <w:pPr>
        <w:pStyle w:val="ListBullet"/>
      </w:pPr>
      <w:r>
        <w:t>Address</w:t>
      </w:r>
    </w:p>
    <w:p>
      <w:pPr>
        <w:pStyle w:val="ListBullet"/>
      </w:pPr>
      <w:r>
        <w:t>Date of Birth</w:t>
      </w:r>
    </w:p>
    <w:p>
      <w:pPr>
        <w:pStyle w:val="ListBullet"/>
      </w:pPr>
      <w:r>
        <w:t>Email Address</w:t>
      </w:r>
    </w:p>
    <w:p>
      <w:pPr>
        <w:pStyle w:val="ListBullet"/>
      </w:pPr>
      <w:r>
        <w:t>Bank Account Number</w:t>
      </w:r>
    </w:p>
    <w:p>
      <w:pPr>
        <w:pStyle w:val="ListBullet"/>
      </w:pPr>
      <w:r>
        <w:t>Financial Account details</w:t>
      </w:r>
    </w:p>
    <w:p>
      <w:pPr>
        <w:pStyle w:val="ListBullet"/>
      </w:pPr>
      <w:r>
        <w:t>Tax File Number (TFN)</w:t>
      </w:r>
    </w:p>
    <w:p>
      <w:pPr>
        <w:pStyle w:val="ListBullet"/>
      </w:pPr>
      <w:r>
        <w:t>Driver’s License Number</w:t>
      </w:r>
    </w:p>
    <w:p>
      <w:pPr>
        <w:pStyle w:val="ListBullet"/>
      </w:pPr>
      <w:r>
        <w:t>Credit Card Number</w:t>
      </w:r>
    </w:p>
    <w:p>
      <w:pPr>
        <w:pStyle w:val="ListBullet"/>
      </w:pPr>
      <w:r>
        <w:t>Login Credentials</w:t>
      </w:r>
    </w:p>
    <w:p>
      <w:pPr>
        <w:pStyle w:val="ListBullet"/>
      </w:pPr>
      <w:r>
        <w:t>Device IDs</w:t>
      </w:r>
    </w:p>
    <w:p>
      <w:pPr>
        <w:pStyle w:val="ListBullet"/>
      </w:pPr>
      <w:r>
        <w:t>Medicare Number</w:t>
      </w:r>
    </w:p>
    <w:p>
      <w:r>
        <w:t>These data fields are regulated under GDPR, the Australian Privacy Act, and PCI DSS, and their presence significantly increases the risk profile of any incident ([source: cybersecai.io platform]).</w:t>
      </w:r>
    </w:p>
    <w:p>
      <w:pPr>
        <w:pStyle w:val="Heading2"/>
      </w:pPr>
      <w:r>
        <w:t>4.3. Analysis</w:t>
      </w:r>
    </w:p>
    <w:p>
      <w:pPr>
        <w:pStyle w:val="ListBullet"/>
      </w:pPr>
      <w:r>
        <w:t>**Root Cause Analysis:** Identify underlying causes (technical, human, process).</w:t>
      </w:r>
    </w:p>
    <w:p>
      <w:pPr>
        <w:pStyle w:val="ListBullet"/>
      </w:pPr>
      <w:r>
        <w:t>**Impact Assessment:** Evaluate actual and potential impacts on individuals, business, and compliance.</w:t>
      </w:r>
    </w:p>
    <w:p>
      <w:r>
        <w:t xml:space="preserve">  **Expert Note:**  </w:t>
      </w:r>
    </w:p>
    <w:p>
      <w:r>
        <w:t xml:space="preserve">  According to cybersecai.io platform analysis, the presence of multiple regulated data fields (e.g., TFN, Driver’s License, Credit Card Number, Login Credentials) in a single breach elevates the overall risk to "High" and may trigger mandatory notification and/or quarantine actions.</w:t>
      </w:r>
    </w:p>
    <w:p>
      <w:pPr>
        <w:pStyle w:val="ListBullet"/>
      </w:pPr>
      <w:r>
        <w:t>**Regulatory Review:** Confirm compliance with Privacy Act 1988 (Cth), NDB Scheme, and OAIC guidance.</w:t>
      </w:r>
    </w:p>
    <w:p>
      <w:r>
        <w:t xml:space="preserve">  **Expert Note:**  </w:t>
      </w:r>
    </w:p>
    <w:p>
      <w:r>
        <w:t xml:space="preserve">  Data involving TFN, Medicare Number, or payment card data must be handled with heightened urgency and in accordance with OAIC and PCI DSS requirements. The cybersecai.io platform recommends immediate quarantine and notification for such incidents.</w:t>
      </w:r>
    </w:p>
    <w:p>
      <w:pPr>
        <w:pStyle w:val="ListBullet"/>
      </w:pPr>
      <w:r>
        <w:t>**Response Evaluation:** Assess effectiveness of detection, containment, notification, and recovery actions.</w:t>
      </w:r>
    </w:p>
    <w:p>
      <w:pPr>
        <w:pStyle w:val="Heading2"/>
      </w:pPr>
      <w:r>
        <w:t>4.4. Lessons Learned</w:t>
      </w:r>
    </w:p>
    <w:p>
      <w:pPr>
        <w:pStyle w:val="ListBullet"/>
      </w:pPr>
      <w:r>
        <w:t>Identify gaps in policies, procedures, training, or controls.</w:t>
      </w:r>
    </w:p>
    <w:p>
      <w:pPr>
        <w:pStyle w:val="ListBullet"/>
      </w:pPr>
      <w:r>
        <w:t>Document what worked well and areas for improvement.</w:t>
      </w:r>
    </w:p>
    <w:p>
      <w:r>
        <w:t xml:space="preserve">  **Expert Note:**  </w:t>
      </w:r>
    </w:p>
    <w:p>
      <w:r>
        <w:t xml:space="preserve">  The cybersecai.io platform auditor view highlights that incidents involving highly sensitive identifiers (e.g., TFN, Driver’s License, Credit Card Number, Login Credentials) often reveal weaknesses in access controls, encryption, or staff training. These should be priority areas for remediation.</w:t>
      </w:r>
    </w:p>
    <w:p>
      <w:pPr>
        <w:pStyle w:val="Heading2"/>
      </w:pPr>
      <w:r>
        <w:t>4.5. Recommendations &amp; Action Plan</w:t>
      </w:r>
    </w:p>
    <w:p>
      <w:pPr>
        <w:pStyle w:val="ListBullet"/>
      </w:pPr>
      <w:r>
        <w:t>Develop specific, measurable actions to address identified gaps.</w:t>
      </w:r>
    </w:p>
    <w:p>
      <w:pPr>
        <w:pStyle w:val="ListBullet"/>
      </w:pPr>
      <w:r>
        <w:t>Assign responsibility and deadlines for each action.</w:t>
      </w:r>
    </w:p>
    <w:p>
      <w:pPr>
        <w:pStyle w:val="ListBullet"/>
      </w:pPr>
      <w:r>
        <w:t>Prioritise actions based on risk and regulatory requirements.</w:t>
      </w:r>
    </w:p>
    <w:p>
      <w:r>
        <w:t xml:space="preserve">  **Expert Note:**  </w:t>
      </w:r>
    </w:p>
    <w:p>
      <w:r>
        <w:t xml:space="preserve">  Where high-risk data fields are involved, the cybersecai.io platform recommends actions such as:</w:t>
      </w:r>
    </w:p>
    <w:p>
      <w:pPr>
        <w:pStyle w:val="ListBullet"/>
      </w:pPr>
      <w:r>
        <w:t>Immediate quarantine of affected files</w:t>
      </w:r>
    </w:p>
    <w:p>
      <w:pPr>
        <w:pStyle w:val="ListBullet"/>
      </w:pPr>
      <w:r>
        <w:t>Notification of data owners and relevant authorities</w:t>
      </w:r>
    </w:p>
    <w:p>
      <w:pPr>
        <w:pStyle w:val="ListBullet"/>
      </w:pPr>
      <w:r>
        <w:t>Review and tightening of access controls</w:t>
      </w:r>
    </w:p>
    <w:p>
      <w:pPr>
        <w:pStyle w:val="ListBullet"/>
      </w:pPr>
      <w:r>
        <w:t>Enhanced monitoring for further unauthorized access attempts</w:t>
      </w:r>
    </w:p>
    <w:p>
      <w:pPr>
        <w:pStyle w:val="Heading2"/>
      </w:pPr>
      <w:r>
        <w:t>4.6. Reporting</w:t>
      </w:r>
    </w:p>
    <w:p>
      <w:pPr>
        <w:pStyle w:val="ListBullet"/>
      </w:pPr>
      <w:r>
        <w:t>Prepare a Post-Incident Review Report, including:</w:t>
      </w:r>
    </w:p>
    <w:p>
      <w:pPr>
        <w:pStyle w:val="ListBullet"/>
      </w:pPr>
      <w:r>
        <w:t>Executive summary</w:t>
      </w:r>
    </w:p>
    <w:p>
      <w:pPr>
        <w:pStyle w:val="ListBullet"/>
      </w:pPr>
      <w:r>
        <w:t>Chronology of events</w:t>
      </w:r>
    </w:p>
    <w:p>
      <w:pPr>
        <w:pStyle w:val="ListBullet"/>
      </w:pPr>
      <w:r>
        <w:t>Analysis and findings</w:t>
      </w:r>
    </w:p>
    <w:p>
      <w:pPr>
        <w:pStyle w:val="ListBullet"/>
      </w:pPr>
      <w:r>
        <w:t>Recommendations and action plan</w:t>
      </w:r>
    </w:p>
    <w:p>
      <w:pPr>
        <w:pStyle w:val="ListBullet"/>
      </w:pPr>
      <w:r>
        <w:t>Distribute report to Executive Management, Legal Counsel, and relevant stakeholders.</w:t>
      </w:r>
    </w:p>
    <w:p>
      <w:r>
        <w:t xml:space="preserve">  **Expert Note:**  </w:t>
      </w:r>
    </w:p>
    <w:p>
      <w:r>
        <w:t xml:space="preserve">  Reports should explicitly reference the types of regulated data involved and the corresponding legal/regulatory standards triggered (GDPR, Australian Privacy Act, PCI DSS), as identified by the cybersecai.io platform.</w:t>
      </w:r>
    </w:p>
    <w:p>
      <w:pPr>
        <w:pStyle w:val="Heading2"/>
      </w:pPr>
      <w:r>
        <w:t>4.7. Follow-Up</w:t>
      </w:r>
    </w:p>
    <w:p>
      <w:pPr>
        <w:pStyle w:val="ListBullet"/>
      </w:pPr>
      <w:r>
        <w:t>Track implementation of action items to completion.</w:t>
      </w:r>
    </w:p>
    <w:p>
      <w:pPr>
        <w:pStyle w:val="ListBullet"/>
      </w:pPr>
      <w:r>
        <w:t>Schedule a follow-up review to assess effectiveness of changes.</w:t>
      </w:r>
    </w:p>
    <w:p>
      <w:pPr>
        <w:pStyle w:val="ListBullet"/>
      </w:pPr>
      <w:r>
        <w:t>Update relevant policies, procedures, and training as required.</w:t>
      </w:r>
    </w:p>
    <w:p>
      <w:r>
        <w:br/>
      </w:r>
    </w:p>
    <w:p>
      <w:pPr>
        <w:pStyle w:val="Heading1"/>
      </w:pPr>
      <w:r>
        <w:t>5. Regulatory References</w:t>
      </w:r>
    </w:p>
    <w:p>
      <w:pPr>
        <w:pStyle w:val="ListBullet"/>
      </w:pPr>
      <w:r>
        <w:rPr>
          <w:b/>
        </w:rPr>
        <w:t>Privacy Act 1988 (Cth)</w:t>
      </w:r>
    </w:p>
    <w:p>
      <w:pPr>
        <w:pStyle w:val="ListBullet"/>
      </w:pPr>
      <w:r>
        <w:rPr>
          <w:b/>
        </w:rPr>
        <w:t>Notifiable Data Breaches (NDB) Scheme</w:t>
      </w:r>
    </w:p>
    <w:p>
      <w:pPr>
        <w:pStyle w:val="ListBullet"/>
      </w:pPr>
      <w:r>
        <w:rPr>
          <w:b/>
        </w:rPr>
        <w:t>OAIC Data Breach Preparation and Response Guide</w:t>
      </w:r>
    </w:p>
    <w:p>
      <w:pPr>
        <w:pStyle w:val="ListBullet"/>
      </w:pPr>
      <w:r>
        <w:rPr>
          <w:b/>
        </w:rPr>
        <w:t>OAIC Guide to Securing Personal Information</w:t>
      </w:r>
    </w:p>
    <w:p>
      <w:pPr>
        <w:pStyle w:val="ListBullet"/>
      </w:pPr>
      <w:r>
        <w:rPr>
          <w:b/>
        </w:rPr>
        <w:t>General Data Protection Regulation (GDPR)</w:t>
      </w:r>
    </w:p>
    <w:p>
      <w:pPr>
        <w:pStyle w:val="ListBullet"/>
      </w:pPr>
      <w:r>
        <w:rPr>
          <w:b/>
        </w:rPr>
        <w:t>Payment Card Industry Data Security Standard (PCI DSS)</w:t>
      </w:r>
    </w:p>
    <w:p>
      <w:r>
        <w:br/>
      </w:r>
    </w:p>
    <w:p>
      <w:pPr>
        <w:pStyle w:val="Heading1"/>
      </w:pPr>
      <w:r>
        <w:t>6. Continuous Improvement</w:t>
      </w:r>
    </w:p>
    <w:p>
      <w:pPr>
        <w:pStyle w:val="ListBullet"/>
      </w:pPr>
      <w:r>
        <w:t>Incorporate lessons learned into ongoing risk assessments and security awareness programs.</w:t>
      </w:r>
    </w:p>
    <w:p>
      <w:pPr>
        <w:pStyle w:val="ListBullet"/>
      </w:pPr>
      <w:r>
        <w:t>Review and update this Procedure annually or after any significant data breach.</w:t>
      </w:r>
    </w:p>
    <w:p>
      <w:r>
        <w:t xml:space="preserve">  **Expert Note:**  </w:t>
      </w:r>
    </w:p>
    <w:p>
      <w:r>
        <w:t xml:space="preserve">  The cybersecai.io platform recommends regular review of detection and response capabilities, especially for systems processing highly regulated data fields, to ensure evolving threats and regulatory requirements are addressed.</w:t>
      </w:r>
    </w:p>
    <w:p>
      <w:r>
        <w:br/>
      </w:r>
    </w:p>
    <w:p>
      <w:pPr>
        <w:pStyle w:val="Heading1"/>
      </w:pPr>
      <w:r>
        <w:t>7. Document Control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Changes Made</w:t>
            </w:r>
          </w:p>
        </w:tc>
      </w:tr>
      <w:tr>
        <w:tc>
          <w:tcPr>
            <w:tcW w:type="dxa" w:w="2160"/>
          </w:tcPr>
          <w:p>
            <w:r>
              <w:t>1.0</w:t>
            </w:r>
          </w:p>
        </w:tc>
        <w:tc>
          <w:tcPr>
            <w:tcW w:type="dxa" w:w="2160"/>
          </w:tcPr>
          <w:p>
            <w:r>
              <w:t>[Insert]</w:t>
            </w:r>
          </w:p>
        </w:tc>
        <w:tc>
          <w:tcPr>
            <w:tcW w:type="dxa" w:w="2160"/>
          </w:tcPr>
          <w:p>
            <w:r>
              <w:t>CISO</w:t>
            </w:r>
          </w:p>
        </w:tc>
        <w:tc>
          <w:tcPr>
            <w:tcW w:type="dxa" w:w="2160"/>
          </w:tcPr>
          <w:p>
            <w:r>
              <w:t>Initial release</w:t>
            </w:r>
          </w:p>
        </w:tc>
      </w:tr>
    </w:tbl>
    <w:p>
      <w:r>
        <w:br/>
      </w:r>
    </w:p>
    <w:p>
      <w:r>
        <w:t xml:space="preserve">**Approval:**  </w:t>
      </w:r>
    </w:p>
    <w:p>
      <w:r>
        <w:t xml:space="preserve">[Name], Chief Information Security Officer  </w:t>
      </w:r>
    </w:p>
    <w:p>
      <w:r>
        <w:t>[Date]</w:t>
      </w:r>
    </w:p>
    <w:p>
      <w:r>
        <w:br/>
      </w:r>
    </w:p>
    <w:p>
      <w:r>
        <w:t>**End of Procedure**</w:t>
      </w:r>
    </w:p>
    <w:p>
      <w:r>
        <w:br/>
      </w:r>
    </w:p>
    <w:p>
      <w:pPr>
        <w:pStyle w:val="Heading2"/>
      </w:pPr>
      <w:r>
        <w:t>Appendix: Data Sensitivity Summary (from cybersecai.io platform)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Standard</w:t>
            </w:r>
          </w:p>
        </w:tc>
        <w:tc>
          <w:tcPr>
            <w:tcW w:type="dxa" w:w="1728"/>
          </w:tcPr>
          <w:p>
            <w:r>
              <w:t>Jurisdiction</w:t>
            </w:r>
          </w:p>
        </w:tc>
        <w:tc>
          <w:tcPr>
            <w:tcW w:type="dxa" w:w="1728"/>
          </w:tcPr>
          <w:p>
            <w:r>
              <w:t>Detected Fields (Examples)</w:t>
            </w:r>
          </w:p>
        </w:tc>
        <w:tc>
          <w:tcPr>
            <w:tcW w:type="dxa" w:w="1728"/>
          </w:tcPr>
          <w:p>
            <w:r>
              <w:t>Risk</w:t>
            </w:r>
          </w:p>
        </w:tc>
        <w:tc>
          <w:tcPr>
            <w:tcW w:type="dxa" w:w="1728"/>
          </w:tcPr>
          <w:p>
            <w:r>
              <w:t>Auditor Proposed Action</w:t>
            </w:r>
          </w:p>
        </w:tc>
      </w:tr>
      <w:tr>
        <w:tc>
          <w:tcPr>
            <w:tcW w:type="dxa" w:w="1728"/>
          </w:tcPr>
          <w:p>
            <w:r>
              <w:t>GDPR</w:t>
            </w:r>
          </w:p>
        </w:tc>
        <w:tc>
          <w:tcPr>
            <w:tcW w:type="dxa" w:w="1728"/>
          </w:tcPr>
          <w:p>
            <w:r>
              <w:t>EU/EEA (global for covered orgs)</w:t>
            </w:r>
          </w:p>
        </w:tc>
        <w:tc>
          <w:tcPr>
            <w:tcW w:type="dxa" w:w="1728"/>
          </w:tcPr>
          <w:p>
            <w:r>
              <w:t>Full Name, Address, Date of Birth, Email Address, Bank Account Number, Credit Card Number, Login Credentials, Tax ID</w:t>
            </w:r>
          </w:p>
        </w:tc>
        <w:tc>
          <w:tcPr>
            <w:tcW w:type="dxa" w:w="1728"/>
          </w:tcPr>
          <w:p>
            <w:r>
              <w:t>High</w:t>
            </w:r>
          </w:p>
        </w:tc>
        <w:tc>
          <w:tcPr>
            <w:tcW w:type="dxa" w:w="1728"/>
          </w:tcPr>
          <w:p>
            <w:r>
              <w:t>Quarantine file, notify owner</w:t>
            </w:r>
          </w:p>
        </w:tc>
      </w:tr>
      <w:tr>
        <w:tc>
          <w:tcPr>
            <w:tcW w:type="dxa" w:w="1728"/>
          </w:tcPr>
          <w:p>
            <w:r>
              <w:t>Australian Privacy Act</w:t>
            </w:r>
          </w:p>
        </w:tc>
        <w:tc>
          <w:tcPr>
            <w:tcW w:type="dxa" w:w="1728"/>
          </w:tcPr>
          <w:p>
            <w:r>
              <w:t>Australia</w:t>
            </w:r>
          </w:p>
        </w:tc>
        <w:tc>
          <w:tcPr>
            <w:tcW w:type="dxa" w:w="1728"/>
          </w:tcPr>
          <w:p>
            <w:r>
              <w:t>Full Name, Address, Date of Birth, Email Address, Financial Account, ABN, TFN, Driver’s License, Medicare Number</w:t>
            </w:r>
          </w:p>
        </w:tc>
        <w:tc>
          <w:tcPr>
            <w:tcW w:type="dxa" w:w="1728"/>
          </w:tcPr>
          <w:p>
            <w:r>
              <w:t>High</w:t>
            </w:r>
          </w:p>
        </w:tc>
        <w:tc>
          <w:tcPr>
            <w:tcW w:type="dxa" w:w="1728"/>
          </w:tcPr>
          <w:p>
            <w:r>
              <w:t>Quarantine file, notify owner</w:t>
            </w:r>
          </w:p>
        </w:tc>
      </w:tr>
      <w:tr>
        <w:tc>
          <w:tcPr>
            <w:tcW w:type="dxa" w:w="1728"/>
          </w:tcPr>
          <w:p>
            <w:r>
              <w:t>PCI DSS</w:t>
            </w:r>
          </w:p>
        </w:tc>
        <w:tc>
          <w:tcPr>
            <w:tcW w:type="dxa" w:w="1728"/>
          </w:tcPr>
          <w:p>
            <w:r>
              <w:t>Global/international</w:t>
            </w:r>
          </w:p>
        </w:tc>
        <w:tc>
          <w:tcPr>
            <w:tcW w:type="dxa" w:w="1728"/>
          </w:tcPr>
          <w:p>
            <w:r>
              <w:t>Account Number, Cardholder Name, Billing Address, Customer Email, Customer Phone, Payment Receipts, CVV/CVC, Login Creds</w:t>
            </w:r>
          </w:p>
        </w:tc>
        <w:tc>
          <w:tcPr>
            <w:tcW w:type="dxa" w:w="1728"/>
          </w:tcPr>
          <w:p>
            <w:r>
              <w:t>High</w:t>
            </w:r>
          </w:p>
        </w:tc>
        <w:tc>
          <w:tcPr>
            <w:tcW w:type="dxa" w:w="1728"/>
          </w:tcPr>
          <w:p>
            <w:r>
              <w:t>Quarantine file, notify owner, review for data exposure</w:t>
            </w:r>
          </w:p>
        </w:tc>
      </w:tr>
    </w:tbl>
    <w:p>
      <w:r>
        <w:t xml:space="preserve">**Auditor Agent View:**  </w:t>
      </w:r>
    </w:p>
    <w:p>
      <w:r>
        <w:t>The presence of multiple regulated data fields (including TFN, Driver’s License, Credit Card Number, Login Credentials, and Medicare Number) in a single incident significantly elevates the risk of unauthorized disclosure or misuse. Immediate quarantine and notification actions are recommended.</w:t>
      </w:r>
    </w:p>
    <w:p>
      <w:r>
        <w:t>*Source: cybersecai.io platform analysis of recent incident data (see M365 and SMB data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