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Data Breach Risk Assessment Procedure</w:t>
      </w:r>
    </w:p>
    <w:p>
      <w:r>
        <w:t xml:space="preserve">**Purpose:**  </w:t>
      </w:r>
    </w:p>
    <w:p>
      <w:r>
        <w:t>To provide a structured, compliant framework for assessing risks and potential harm following a data breach, supporting best practices and compliance with the Personal Information Protection and Electronic Documents Act (PIPEDA).</w:t>
      </w:r>
    </w:p>
    <w:p>
      <w:r>
        <w:br/>
      </w:r>
    </w:p>
    <w:p>
      <w:pPr>
        <w:pStyle w:val="Heading1"/>
      </w:pPr>
      <w:r>
        <w:t>1. Scope</w:t>
      </w:r>
    </w:p>
    <w:p>
      <w:r>
        <w:t>This procedure applies to all actual or suspected breaches involving personal information under the custody or control of Oakville HealthCare Provider (“OHP”).</w:t>
      </w:r>
    </w:p>
    <w:p>
      <w:r>
        <w:br/>
      </w:r>
    </w:p>
    <w:p>
      <w:pPr>
        <w:pStyle w:val="Heading1"/>
      </w:pPr>
      <w:r>
        <w:t>2. Responsibilities</w:t>
      </w:r>
    </w:p>
    <w:p>
      <w:pPr>
        <w:pStyle w:val="ListBullet"/>
      </w:pPr>
      <w:r>
        <w:t>**Privacy Officer:** Oversees and coordinates the risk assessment process; ensures documentation and regulatory compliance.</w:t>
      </w:r>
    </w:p>
    <w:p>
      <w:pPr>
        <w:pStyle w:val="ListBullet"/>
      </w:pPr>
      <w:r>
        <w:t>**IT Security Lead:** Provides technical analysis of the breach and supports risk evaluation.</w:t>
      </w:r>
    </w:p>
    <w:p>
      <w:pPr>
        <w:pStyle w:val="ListBullet"/>
      </w:pPr>
      <w:r>
        <w:t>**Department Heads:** Supply relevant contextual information and assist in impact assessment.</w:t>
      </w:r>
    </w:p>
    <w:p>
      <w:pPr>
        <w:pStyle w:val="ListBullet"/>
      </w:pPr>
      <w:r>
        <w:t>**Legal Counsel:** Advises on regulatory obligations and risk mitigation strategies.</w:t>
      </w:r>
    </w:p>
    <w:p>
      <w:r>
        <w:br/>
      </w:r>
    </w:p>
    <w:p>
      <w:pPr>
        <w:pStyle w:val="Heading1"/>
      </w:pPr>
      <w:r>
        <w:t>3. Procedure Steps</w:t>
      </w:r>
    </w:p>
    <w:p>
      <w:pPr>
        <w:pStyle w:val="Heading2"/>
      </w:pPr>
      <w:r>
        <w:t>3.1 Breach Identification and Containment</w:t>
      </w:r>
    </w:p>
    <w:p>
      <w:pPr>
        <w:pStyle w:val="ListBullet"/>
      </w:pPr>
      <w:r>
        <w:t>Immediately contain the breach to prevent further unauthorized access, use, or disclosure.</w:t>
      </w:r>
    </w:p>
    <w:p>
      <w:pPr>
        <w:pStyle w:val="ListBullet"/>
      </w:pPr>
      <w:r>
        <w:t>Document the date, time, and nature of the breach.</w:t>
      </w:r>
    </w:p>
    <w:p>
      <w:pPr>
        <w:pStyle w:val="Heading2"/>
      </w:pPr>
      <w:r>
        <w:t>3.2 Preliminary Assessment</w:t>
      </w:r>
    </w:p>
    <w:p>
      <w:pPr>
        <w:pStyle w:val="ListBullet"/>
      </w:pPr>
      <w:r>
        <w:t>Identify the type and volume of personal information involved.</w:t>
      </w:r>
    </w:p>
    <w:p>
      <w:pPr>
        <w:pStyle w:val="ListBullet"/>
      </w:pPr>
      <w:r>
        <w:t>Determine the cause and extent of the breach (e.g., unauthorized access, loss, theft).</w:t>
      </w:r>
    </w:p>
    <w:p>
      <w:pPr>
        <w:pStyle w:val="Heading2"/>
      </w:pPr>
      <w:r>
        <w:t>3.3 Risk Assessment</w:t>
      </w:r>
    </w:p>
    <w:p>
      <w:pPr>
        <w:pStyle w:val="Heading3"/>
      </w:pPr>
      <w:r>
        <w:t>3.3.1 Evaluate Sensitivity of Information</w:t>
      </w:r>
    </w:p>
    <w:p>
      <w:pPr>
        <w:pStyle w:val="ListBullet"/>
      </w:pPr>
      <w:r>
        <w:t>Assess the sensitivity of the personal information (e.g., health, financial, identification data).</w:t>
      </w:r>
    </w:p>
    <w:p>
      <w:pPr>
        <w:pStyle w:val="ListBullet"/>
      </w:pPr>
      <w:r>
        <w:t>**Expert Note:** Based on recent data analysis from the cybersecai.io platform, regulated data fields commonly detected in healthcare and IT asset management include:</w:t>
      </w:r>
    </w:p>
    <w:p>
      <w:pPr>
        <w:pStyle w:val="ListBullet"/>
      </w:pPr>
      <w:r>
        <w:t>Full Name, Date of Birth, Address, Email Address, Phone Number, Driver’s License Number, Tax ID, Financial Account Numbers, Credit Card Numbers, Login Credentials, and Device IDs.</w:t>
      </w:r>
    </w:p>
    <w:p>
      <w:pPr>
        <w:pStyle w:val="ListBullet"/>
      </w:pPr>
      <w:r>
        <w:t>These fields are classified as "Highly Sensitive" under GDPR, Australian Privacy Act, PCI DSS, and CCPA/CPRA, and their exposure poses a high risk of harm, including identity theft and financial fraud.</w:t>
      </w:r>
    </w:p>
    <w:p>
      <w:pPr>
        <w:pStyle w:val="ListBullet"/>
      </w:pPr>
      <w:r>
        <w:t>Reference: PIPEDA, s. 10.1(7)(a).</w:t>
      </w:r>
    </w:p>
    <w:p>
      <w:pPr>
        <w:pStyle w:val="Heading3"/>
      </w:pPr>
      <w:r>
        <w:t>3.3.2 Assess Likelihood of Harm</w:t>
      </w:r>
    </w:p>
    <w:p>
      <w:pPr>
        <w:pStyle w:val="ListBullet"/>
      </w:pPr>
      <w:r>
        <w:t>Consider the probability of misuse of the information.</w:t>
      </w:r>
    </w:p>
    <w:p>
      <w:pPr>
        <w:pStyle w:val="ListBullet"/>
      </w:pPr>
      <w:r>
        <w:t>Evaluate whether the information is encrypted, anonymized, or otherwise protected.</w:t>
      </w:r>
    </w:p>
    <w:p>
      <w:pPr>
        <w:pStyle w:val="ListBullet"/>
      </w:pPr>
      <w:r>
        <w:t>**Expert Note:** The cybersecai.io platform risk assessments consistently rate the likelihood of harm as "High" when such sensitive fields are exposed and not adequately protected by encryption or access controls.</w:t>
      </w:r>
    </w:p>
    <w:p>
      <w:pPr>
        <w:pStyle w:val="ListBullet"/>
      </w:pPr>
      <w:r>
        <w:t>Reference: PIPEDA, s. 10.1(7)(b).</w:t>
      </w:r>
    </w:p>
    <w:p>
      <w:pPr>
        <w:pStyle w:val="Heading3"/>
      </w:pPr>
      <w:r>
        <w:t>3.3.3 Assess Potential Harm</w:t>
      </w:r>
    </w:p>
    <w:p>
      <w:pPr>
        <w:pStyle w:val="ListBullet"/>
      </w:pPr>
      <w:r>
        <w:t>Identify potential harms (e.g., identity theft, financial loss, reputational damage, discrimination).</w:t>
      </w:r>
    </w:p>
    <w:p>
      <w:pPr>
        <w:pStyle w:val="ListBullet"/>
      </w:pPr>
      <w:r>
        <w:t>Consider the number of individuals affected and the context of the breach.</w:t>
      </w:r>
    </w:p>
    <w:p>
      <w:pPr>
        <w:pStyle w:val="ListBullet"/>
      </w:pPr>
      <w:r>
        <w:t>**Expert Note:** Exposure of the above data fields, as identified in cybersecai.io’s platform output, can lead to significant regulatory penalties and legal liability, especially if data subjects are in multiple jurisdictions (e.g., EU, Australia, USA).</w:t>
      </w:r>
    </w:p>
    <w:p>
      <w:pPr>
        <w:pStyle w:val="Heading3"/>
      </w:pPr>
      <w:r>
        <w:t>3.3.4 Identify Mitigating Factors</w:t>
      </w:r>
    </w:p>
    <w:p>
      <w:pPr>
        <w:pStyle w:val="ListBullet"/>
      </w:pPr>
      <w:r>
        <w:t>Assess existing safeguards and steps taken to reduce risk.</w:t>
      </w:r>
    </w:p>
    <w:p>
      <w:pPr>
        <w:pStyle w:val="ListBullet"/>
      </w:pPr>
      <w:r>
        <w:t>Determine if the information has been recovered or if further exposure is possible.</w:t>
      </w:r>
    </w:p>
    <w:p>
      <w:pPr>
        <w:pStyle w:val="ListBullet"/>
      </w:pPr>
      <w:r>
        <w:t>**Expert Note:** Recommended controls, as per cybersecai.io platform guidance, include:</w:t>
      </w:r>
    </w:p>
    <w:p>
      <w:pPr>
        <w:pStyle w:val="ListBullet"/>
      </w:pPr>
      <w:r>
        <w:t>Strong access controls and least privilege (ISO 27001 A.9, NIST AC-6)</w:t>
      </w:r>
    </w:p>
    <w:p>
      <w:pPr>
        <w:pStyle w:val="ListBullet"/>
      </w:pPr>
      <w:r>
        <w:t>Encryption at rest and in transit (ISO 27001 A.10, NIST SC-13/SC-28)</w:t>
      </w:r>
    </w:p>
    <w:p>
      <w:pPr>
        <w:pStyle w:val="ListBullet"/>
      </w:pPr>
      <w:r>
        <w:t>Multi-factor authentication (ISO 27001 A.9, NIST IA-2)</w:t>
      </w:r>
    </w:p>
    <w:p>
      <w:pPr>
        <w:pStyle w:val="ListBullet"/>
      </w:pPr>
      <w:r>
        <w:t>Regular audits and monitoring (ISO 27001 A.12, NIST AU-2/AU-6)</w:t>
      </w:r>
    </w:p>
    <w:p>
      <w:pPr>
        <w:pStyle w:val="ListBullet"/>
      </w:pPr>
      <w:r>
        <w:t>Secure disposal of sensitive data (ISO 27001 A.11, NIST MP-6)</w:t>
      </w:r>
    </w:p>
    <w:p>
      <w:pPr>
        <w:pStyle w:val="ListBullet"/>
      </w:pPr>
      <w:r>
        <w:t>Security awareness training (ISO 27001 A.7, NIST AT-2)</w:t>
      </w:r>
    </w:p>
    <w:p>
      <w:pPr>
        <w:pStyle w:val="ListBullet"/>
      </w:pPr>
      <w:r>
        <w:t>Data loss prevention (DLP) solutions (ISO 27001 A.8, NIST SI-4)</w:t>
      </w:r>
    </w:p>
    <w:p>
      <w:pPr>
        <w:pStyle w:val="ListBullet"/>
      </w:pPr>
      <w:r>
        <w:t>Incident response and breach notification procedures (ISO 27035, NIST IR-4)</w:t>
      </w:r>
    </w:p>
    <w:p>
      <w:pPr>
        <w:pStyle w:val="Heading2"/>
      </w:pPr>
      <w:r>
        <w:t>3.4 Documentation</w:t>
      </w:r>
    </w:p>
    <w:p>
      <w:pPr>
        <w:pStyle w:val="ListBullet"/>
      </w:pPr>
      <w:r>
        <w:t>Complete a written risk assessment report, including:</w:t>
      </w:r>
    </w:p>
    <w:p>
      <w:pPr>
        <w:pStyle w:val="ListBullet"/>
      </w:pPr>
      <w:r>
        <w:t>Description of the breach</w:t>
      </w:r>
    </w:p>
    <w:p>
      <w:pPr>
        <w:pStyle w:val="ListBullet"/>
      </w:pPr>
      <w:r>
        <w:t>Assessment of sensitivity, likelihood, and potential harm</w:t>
      </w:r>
    </w:p>
    <w:p>
      <w:pPr>
        <w:pStyle w:val="ListBullet"/>
      </w:pPr>
      <w:r>
        <w:t>Mitigating actions taken</w:t>
      </w:r>
    </w:p>
    <w:p>
      <w:pPr>
        <w:pStyle w:val="ListBullet"/>
      </w:pPr>
      <w:r>
        <w:t>Recommendations for further action</w:t>
      </w:r>
    </w:p>
    <w:p>
      <w:pPr>
        <w:pStyle w:val="Heading2"/>
      </w:pPr>
      <w:r>
        <w:t>3.5 Regulatory and Notification Requirements</w:t>
      </w:r>
    </w:p>
    <w:p>
      <w:pPr>
        <w:pStyle w:val="ListBullet"/>
      </w:pPr>
      <w:r>
        <w:t>Determine if the breach poses a “real risk of significant harm” (RROSH) as defined by PIPEDA, s. 10.1(1).</w:t>
      </w:r>
    </w:p>
    <w:p>
      <w:pPr>
        <w:pStyle w:val="ListBullet"/>
      </w:pPr>
      <w:r>
        <w:t>If RROSH is established:</w:t>
      </w:r>
    </w:p>
    <w:p>
      <w:pPr>
        <w:pStyle w:val="ListBullet"/>
      </w:pPr>
      <w:r>
        <w:t>Notify affected individuals as soon as feasible.</w:t>
      </w:r>
    </w:p>
    <w:p>
      <w:pPr>
        <w:pStyle w:val="ListBullet"/>
      </w:pPr>
      <w:r>
        <w:t>Notify the Office of the Privacy Commissioner of Canada (OPC) without unreasonable delay.</w:t>
      </w:r>
    </w:p>
    <w:p>
      <w:pPr>
        <w:pStyle w:val="ListBullet"/>
      </w:pPr>
      <w:r>
        <w:t>Notify third parties if necessary to reduce risk of harm.</w:t>
      </w:r>
    </w:p>
    <w:p>
      <w:pPr>
        <w:pStyle w:val="ListBullet"/>
      </w:pPr>
      <w:r>
        <w:t>Maintain records of all breaches as required by PIPEDA, s. 10.3.</w:t>
      </w:r>
    </w:p>
    <w:p>
      <w:pPr>
        <w:pStyle w:val="ListBullet"/>
      </w:pPr>
      <w:r>
        <w:t>**Expert Note:** If the breach involves data subjects in the EU, Australia, or California, additional notification obligations under GDPR, Australian Privacy Act, and CCPA/CPRA may apply, given the high-risk fields detected (see cybersecai.io platform data).</w:t>
      </w:r>
    </w:p>
    <w:p>
      <w:r>
        <w:br/>
      </w:r>
    </w:p>
    <w:p>
      <w:pPr>
        <w:pStyle w:val="Heading1"/>
      </w:pPr>
      <w:r>
        <w:t>4. Review and Continuous Improvement</w:t>
      </w:r>
    </w:p>
    <w:p>
      <w:pPr>
        <w:pStyle w:val="ListBullet"/>
      </w:pPr>
      <w:r>
        <w:t>Review the risk assessment procedure annually or following a significant breach.</w:t>
      </w:r>
    </w:p>
    <w:p>
      <w:pPr>
        <w:pStyle w:val="ListBullet"/>
      </w:pPr>
      <w:r>
        <w:t>Update the procedure to reflect changes in law, regulation, or best practices.</w:t>
      </w:r>
    </w:p>
    <w:p>
      <w:pPr>
        <w:pStyle w:val="ListBullet"/>
      </w:pPr>
      <w:r>
        <w:t>**Expert Note:** Continuous monitoring and regular risk assessments are strongly recommended by cybersecai.io platform findings to address evolving threats and regulatory requirements.</w:t>
      </w:r>
    </w:p>
    <w:p>
      <w:r>
        <w:br/>
      </w:r>
    </w:p>
    <w:p>
      <w:pPr>
        <w:pStyle w:val="Heading1"/>
      </w:pPr>
      <w:r>
        <w:t>5. Regulatory Cross-References</w:t>
      </w:r>
    </w:p>
    <w:p>
      <w:pPr>
        <w:pStyle w:val="ListBullet"/>
      </w:pPr>
      <w:r>
        <w:t>**PIPEDA, s. 10.1:** Breach of Security Safeguards</w:t>
      </w:r>
    </w:p>
    <w:p>
      <w:pPr>
        <w:pStyle w:val="ListBullet"/>
      </w:pPr>
      <w:r>
        <w:t>**PIPEDA, s. 10.3:** Record-Keeping Requirements</w:t>
      </w:r>
    </w:p>
    <w:p>
      <w:pPr>
        <w:pStyle w:val="ListBullet"/>
      </w:pPr>
      <w:r>
        <w:t>**OPC Guidance:** “What you need to know about mandatory reporting of breaches of security safeguards”</w:t>
      </w:r>
    </w:p>
    <w:p>
      <w:pPr>
        <w:pStyle w:val="ListBullet"/>
      </w:pPr>
      <w:r>
        <w:t>**GDPR (EU/EEA):** Articles 33–34 (Breach Notification)</w:t>
      </w:r>
    </w:p>
    <w:p>
      <w:pPr>
        <w:pStyle w:val="ListBullet"/>
      </w:pPr>
      <w:r>
        <w:t>**Australian Privacy Act:** Notifiable Data Breaches (NDB) Scheme</w:t>
      </w:r>
    </w:p>
    <w:p>
      <w:pPr>
        <w:pStyle w:val="ListBullet"/>
      </w:pPr>
      <w:r>
        <w:t>**CCPA/CPRA (California):** Data Breach Notification</w:t>
      </w:r>
    </w:p>
    <w:p>
      <w:pPr>
        <w:pStyle w:val="ListBullet"/>
      </w:pPr>
      <w:r>
        <w:t>**PCI DSS:** Cardholder Data Security Requirements</w:t>
      </w:r>
    </w:p>
    <w:p>
      <w:r>
        <w:br/>
      </w:r>
    </w:p>
    <w:p>
      <w:r>
        <w:t xml:space="preserve">**Data Source:**  </w:t>
      </w:r>
    </w:p>
    <w:p>
      <w:r>
        <w:t>This risk assessment procedure incorporates expert findings and recommendations based on sensitive data detection and risk analysis provided by the cybersecai.io platform (see AWS S3 and M365 data sources).</w:t>
      </w:r>
    </w:p>
    <w:p>
      <w:r>
        <w:t xml:space="preserve">**Approved by:**  </w:t>
      </w:r>
    </w:p>
    <w:p>
      <w:r>
        <w:t xml:space="preserve">Privacy Officer, Oakville HealthCare Provider  </w:t>
      </w:r>
    </w:p>
    <w:p>
      <w:r>
        <w:t>**Effective Date:** [Insert Date]</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