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Oakville HealthCare Provider</w:t>
      </w:r>
    </w:p>
    <w:p>
      <w:pPr>
        <w:pStyle w:val="Heading1"/>
      </w:pPr>
      <w:r>
        <w:t>Third-Party Breach Notification Procedure</w:t>
      </w:r>
    </w:p>
    <w:p>
      <w:r>
        <w:t xml:space="preserve">**Effective Date:** [Insert Date]  </w:t>
      </w:r>
    </w:p>
    <w:p>
      <w:r>
        <w:t xml:space="preserve">**Version:** 1.0  </w:t>
      </w:r>
    </w:p>
    <w:p>
      <w:r>
        <w:t>**Approved By:** [Insert Approver]</w:t>
      </w:r>
    </w:p>
    <w:p>
      <w:r>
        <w:br/>
      </w:r>
    </w:p>
    <w:p>
      <w:pPr>
        <w:pStyle w:val="Heading2"/>
      </w:pPr>
      <w:r>
        <w:t>1. Purpose</w:t>
      </w:r>
    </w:p>
    <w:p>
      <w:r>
        <w:t>This Procedure establishes the steps Oakville HealthCare Provider (“OHP”) must follow to identify, assess, and respond to privacy or security breaches involving third-party service providers or partners (“Third Parties”). It supports OHP’s obligations under the Personal Information Protection and Electronic Documents Act (PIPEDA), particularly the accountability principle (Principle 1, Schedule 1), and aligns with best practices for breach management.</w:t>
      </w:r>
    </w:p>
    <w:p>
      <w:r>
        <w:t xml:space="preserve">**Expert Note:**  </w:t>
      </w:r>
    </w:p>
    <w:p>
      <w:r>
        <w:t>Recent data analysis using the cybersecai.io platform indicates that OHP and its third parties may process or store highly sensitive personal data, including but not limited to full names, dates of birth, addresses, driver’s license numbers, tax IDs, email addresses, phone numbers, bank account and credit card numbers, and login credentials. These data elements are regulated under multiple privacy regimes (GDPR, Australian Privacy Act, CCPA/CPRA, PCI DSS) and pose a high risk if compromised. (See: cybersecai.io risk assessment, 2024)</w:t>
      </w:r>
    </w:p>
    <w:p>
      <w:r>
        <w:br/>
      </w:r>
    </w:p>
    <w:p>
      <w:pPr>
        <w:pStyle w:val="Heading2"/>
      </w:pPr>
      <w:r>
        <w:t>2. Scope</w:t>
      </w:r>
    </w:p>
    <w:p>
      <w:r>
        <w:t>This Procedure applies to all OHP personnel who manage, oversee, or interact with Third Parties that process, store, or transmit personal information on behalf of OHP.</w:t>
      </w:r>
    </w:p>
    <w:p>
      <w:r>
        <w:br/>
      </w:r>
    </w:p>
    <w:p>
      <w:pPr>
        <w:pStyle w:val="Heading2"/>
      </w:pPr>
      <w:r>
        <w:t>3. Definitions</w:t>
      </w:r>
    </w:p>
    <w:p>
      <w:pPr>
        <w:pStyle w:val="ListBullet"/>
      </w:pPr>
      <w:r>
        <w:t>**Breach:** Any unauthorized access to, collection, use, disclosure, or disposal of personal information, including incidents caused or facilitated by Third Parties.</w:t>
      </w:r>
    </w:p>
    <w:p>
      <w:pPr>
        <w:pStyle w:val="ListBullet"/>
      </w:pPr>
      <w:r>
        <w:t>**Third Party:** Any external service provider, contractor, or partner with whom OHP shares personal information for processing or other business purposes.</w:t>
      </w:r>
    </w:p>
    <w:p>
      <w:pPr>
        <w:pStyle w:val="ListBullet"/>
      </w:pPr>
      <w:r>
        <w:t>**Sensitive Personal Data:** As identified by cybersecai.io, includes but is not limited to: Full Name, Date of Birth, Address, Email Address, Phone Number, Driver’s License Number, Tax ID/Tax File Number, Bank Account Number, Credit Card Number, Login Credentials.</w:t>
      </w:r>
    </w:p>
    <w:p>
      <w:r>
        <w:br/>
      </w:r>
    </w:p>
    <w:p>
      <w:pPr>
        <w:pStyle w:val="Heading2"/>
      </w:pPr>
      <w:r>
        <w:t>4. Responsibilities</w:t>
      </w:r>
    </w:p>
    <w:p>
      <w:pPr>
        <w:pStyle w:val="ListBullet"/>
      </w:pPr>
      <w:r>
        <w:t>**Privacy Officer:** Overall responsibility for breach management, regulatory reporting, and internal/external communications.</w:t>
      </w:r>
    </w:p>
    <w:p>
      <w:pPr>
        <w:pStyle w:val="ListBullet"/>
      </w:pPr>
      <w:r>
        <w:t>**IT Security Lead:** Technical assessment and containment of breaches.</w:t>
      </w:r>
    </w:p>
    <w:p>
      <w:pPr>
        <w:pStyle w:val="ListBullet"/>
      </w:pPr>
      <w:r>
        <w:t>**Contract Manager:** Liaison with Third Parties; ensures contractual compliance.</w:t>
      </w:r>
    </w:p>
    <w:p>
      <w:pPr>
        <w:pStyle w:val="ListBullet"/>
      </w:pPr>
      <w:r>
        <w:t>**All Staff:** Duty to report suspected or confirmed Third-Party breaches immediately.</w:t>
      </w:r>
    </w:p>
    <w:p>
      <w:r>
        <w:br/>
      </w:r>
    </w:p>
    <w:p>
      <w:pPr>
        <w:pStyle w:val="Heading2"/>
      </w:pPr>
      <w:r>
        <w:t>5. Procedure</w:t>
      </w:r>
    </w:p>
    <w:p>
      <w:pPr>
        <w:pStyle w:val="Heading3"/>
      </w:pPr>
      <w:r>
        <w:t>5.1. Identification and Initial Notification</w:t>
      </w:r>
    </w:p>
    <w:p>
      <w:pPr>
        <w:pStyle w:val="ListNumber"/>
      </w:pPr>
      <w:r>
        <w:t>**Immediate Reporting:**</w:t>
      </w:r>
    </w:p>
    <w:p>
      <w:pPr>
        <w:pStyle w:val="ListBullet"/>
      </w:pPr>
      <w:r>
        <w:t>Any OHP staff who becomes aware of a potential or actual Third-Party breach must notify the Privacy Officer without delay.</w:t>
      </w:r>
    </w:p>
    <w:p>
      <w:pPr>
        <w:pStyle w:val="ListBullet"/>
      </w:pPr>
      <w:r>
        <w:t>The Privacy Officer must acknowledge receipt and initiate a preliminary assessment within 24 hours.</w:t>
      </w:r>
    </w:p>
    <w:p>
      <w:pPr>
        <w:pStyle w:val="ListNumber"/>
      </w:pPr>
      <w:r>
        <w:t>**Third-Party Notification Obligation:**</w:t>
      </w:r>
    </w:p>
    <w:p>
      <w:pPr>
        <w:pStyle w:val="ListBullet"/>
      </w:pPr>
      <w:r>
        <w:t>All Third-Party contracts must require prompt notification to OHP of any breach affecting OHP data (recommended: within 24 hours of discovery).</w:t>
      </w:r>
    </w:p>
    <w:p>
      <w:pPr>
        <w:pStyle w:val="Heading3"/>
      </w:pPr>
      <w:r>
        <w:t>5.2. Assessment and Containment</w:t>
      </w:r>
    </w:p>
    <w:p>
      <w:pPr>
        <w:pStyle w:val="ListNumber"/>
      </w:pPr>
      <w:r>
        <w:t>**Information Gathering:**</w:t>
      </w:r>
    </w:p>
    <w:p>
      <w:pPr>
        <w:pStyle w:val="ListBullet"/>
      </w:pPr>
      <w:r>
        <w:t>The Privacy Officer, with IT Security Lead and Contract Manager, will obtain from the Third Party:</w:t>
      </w:r>
    </w:p>
    <w:p>
      <w:pPr>
        <w:pStyle w:val="ListBullet"/>
      </w:pPr>
      <w:r>
        <w:t>Nature and scope of the breach.</w:t>
      </w:r>
    </w:p>
    <w:p>
      <w:pPr>
        <w:pStyle w:val="ListBullet"/>
      </w:pPr>
      <w:r>
        <w:t>Types of personal information involved (with reference to high-risk fields as flagged by cybersecai.io: e.g., full name, date of birth, address, driver’s license number, tax ID, bank/credit card numbers, login credentials).</w:t>
      </w:r>
    </w:p>
    <w:p>
      <w:pPr>
        <w:pStyle w:val="ListBullet"/>
      </w:pPr>
      <w:r>
        <w:t>Date and duration of the breach.</w:t>
      </w:r>
    </w:p>
    <w:p>
      <w:pPr>
        <w:pStyle w:val="ListBullet"/>
      </w:pPr>
      <w:r>
        <w:t>Number of individuals affected.</w:t>
      </w:r>
    </w:p>
    <w:p>
      <w:pPr>
        <w:pStyle w:val="ListBullet"/>
      </w:pPr>
      <w:r>
        <w:t>Steps taken to contain the breach.</w:t>
      </w:r>
    </w:p>
    <w:p>
      <w:pPr>
        <w:pStyle w:val="ListNumber"/>
      </w:pPr>
      <w:r>
        <w:t>**Containment:**</w:t>
      </w:r>
    </w:p>
    <w:p>
      <w:pPr>
        <w:pStyle w:val="ListBullet"/>
      </w:pPr>
      <w:r>
        <w:t>Coordinate with the Third Party to contain the breach and prevent further unauthorized access.</w:t>
      </w:r>
    </w:p>
    <w:p>
      <w:pPr>
        <w:pStyle w:val="Heading3"/>
      </w:pPr>
      <w:r>
        <w:t>5.3. Risk Evaluation</w:t>
      </w:r>
    </w:p>
    <w:p>
      <w:pPr>
        <w:pStyle w:val="ListNumber"/>
      </w:pPr>
      <w:r>
        <w:t>**Risk Assessment:**</w:t>
      </w:r>
    </w:p>
    <w:p>
      <w:pPr>
        <w:pStyle w:val="ListBullet"/>
      </w:pPr>
      <w:r>
        <w:t>Assess the real risk of significant harm (RROSH) to individuals, as defined under PIPEDA s.10.1(7), and referencing the “High” risk rating assigned to the above data types by cybersecai.io.</w:t>
      </w:r>
    </w:p>
    <w:p>
      <w:pPr>
        <w:pStyle w:val="ListBullet"/>
      </w:pPr>
      <w:r>
        <w:t>Document findings and recommended actions.</w:t>
      </w:r>
    </w:p>
    <w:p>
      <w:pPr>
        <w:pStyle w:val="Heading3"/>
      </w:pPr>
      <w:r>
        <w:t>5.4. Notification</w:t>
      </w:r>
    </w:p>
    <w:p>
      <w:pPr>
        <w:pStyle w:val="ListNumber"/>
      </w:pPr>
      <w:r>
        <w:t>**Regulatory Notification:**</w:t>
      </w:r>
    </w:p>
    <w:p>
      <w:pPr>
        <w:pStyle w:val="ListBullet"/>
      </w:pPr>
      <w:r>
        <w:t>If RROSH is established, notify the Office of the Privacy Commissioner of Canada (OPC) as required by PIPEDA s.10.1(1).</w:t>
      </w:r>
    </w:p>
    <w:p>
      <w:pPr>
        <w:pStyle w:val="ListBullet"/>
      </w:pPr>
      <w:r>
        <w:t>Maintain records of all breaches as required by PIPEDA s.10.3.</w:t>
      </w:r>
    </w:p>
    <w:p>
      <w:pPr>
        <w:pStyle w:val="ListNumber"/>
      </w:pPr>
      <w:r>
        <w:t>**Individual Notification:**</w:t>
      </w:r>
    </w:p>
    <w:p>
      <w:pPr>
        <w:pStyle w:val="ListBullet"/>
      </w:pPr>
      <w:r>
        <w:t>Notify affected individuals as soon as feasible, in accordance with PIPEDA s.10.1(3), unless law enforcement requests a delay.</w:t>
      </w:r>
    </w:p>
    <w:p>
      <w:pPr>
        <w:pStyle w:val="ListNumber"/>
      </w:pPr>
      <w:r>
        <w:t>**Other Notifications:**</w:t>
      </w:r>
    </w:p>
    <w:p>
      <w:pPr>
        <w:pStyle w:val="ListBullet"/>
      </w:pPr>
      <w:r>
        <w:t>Notify other organizations or government institutions if they may be able to mitigate harm (PIPEDA s.10.2).</w:t>
      </w:r>
    </w:p>
    <w:p>
      <w:pPr>
        <w:pStyle w:val="Heading3"/>
      </w:pPr>
      <w:r>
        <w:t>5.5. Remediation and Review</w:t>
      </w:r>
    </w:p>
    <w:p>
      <w:pPr>
        <w:pStyle w:val="ListNumber"/>
      </w:pPr>
      <w:r>
        <w:t>**Remediation:**</w:t>
      </w:r>
    </w:p>
    <w:p>
      <w:pPr>
        <w:pStyle w:val="ListBullet"/>
      </w:pPr>
      <w:r>
        <w:t>Work with the Third Party to ensure corrective actions are implemented.</w:t>
      </w:r>
    </w:p>
    <w:p>
      <w:pPr>
        <w:pStyle w:val="ListBullet"/>
      </w:pPr>
      <w:r>
        <w:t>Review and, if necessary, amend contractual terms and security requirements.</w:t>
      </w:r>
    </w:p>
    <w:p>
      <w:pPr>
        <w:pStyle w:val="ListNumber"/>
      </w:pPr>
      <w:r>
        <w:t>**Post-Incident Review:**</w:t>
      </w:r>
    </w:p>
    <w:p>
      <w:pPr>
        <w:pStyle w:val="ListBullet"/>
      </w:pPr>
      <w:r>
        <w:t>Conduct a debrief to identify lessons learned and update this Procedure as needed.</w:t>
      </w:r>
    </w:p>
    <w:p>
      <w:r>
        <w:br/>
      </w:r>
    </w:p>
    <w:p>
      <w:pPr>
        <w:pStyle w:val="Heading2"/>
      </w:pPr>
      <w:r>
        <w:t>6. Documentation and Record-Keeping</w:t>
      </w:r>
    </w:p>
    <w:p>
      <w:pPr>
        <w:pStyle w:val="ListBullet"/>
      </w:pPr>
      <w:r>
        <w:t>Maintain detailed records of all Third-Party breaches, assessments, notifications, and remedial actions for a minimum of 24 months, as required by PIPEDA s.10.3.</w:t>
      </w:r>
    </w:p>
    <w:p>
      <w:r>
        <w:br/>
      </w:r>
    </w:p>
    <w:p>
      <w:pPr>
        <w:pStyle w:val="Heading2"/>
      </w:pPr>
      <w:r>
        <w:t>7. Regulatory Cross-References</w:t>
      </w:r>
    </w:p>
    <w:p>
      <w:pPr>
        <w:pStyle w:val="ListBullet"/>
      </w:pPr>
      <w:r>
        <w:rPr>
          <w:b/>
        </w:rPr>
        <w:t>PIPEDA Principle 1 (Accountability)</w:t>
      </w:r>
    </w:p>
    <w:p>
      <w:pPr>
        <w:pStyle w:val="ListBullet"/>
      </w:pPr>
      <w:r>
        <w:rPr>
          <w:b/>
        </w:rPr>
        <w:t>PIPEDA s.10.1 (Breach of Security Safeguards)</w:t>
      </w:r>
    </w:p>
    <w:p>
      <w:pPr>
        <w:pStyle w:val="ListBullet"/>
      </w:pPr>
      <w:r>
        <w:rPr>
          <w:b/>
        </w:rPr>
        <w:t>PIPEDA s.10.2 (Notification to Other Organizations)</w:t>
      </w:r>
    </w:p>
    <w:p>
      <w:pPr>
        <w:pStyle w:val="ListBullet"/>
      </w:pPr>
      <w:r>
        <w:rPr>
          <w:b/>
        </w:rPr>
        <w:t>PIPEDA s.10.3 (Record-Keeping)</w:t>
      </w:r>
    </w:p>
    <w:p>
      <w:pPr>
        <w:pStyle w:val="ListBullet"/>
      </w:pPr>
      <w:r>
        <w:rPr>
          <w:b/>
        </w:rPr>
        <w:t>GDPR Articles 33–34 (Breach Notification)</w:t>
      </w:r>
    </w:p>
    <w:p>
      <w:pPr>
        <w:pStyle w:val="ListBullet"/>
      </w:pPr>
      <w:r>
        <w:rPr>
          <w:b/>
        </w:rPr>
        <w:t>Australian Privacy Act (NDB Scheme)</w:t>
      </w:r>
    </w:p>
    <w:p>
      <w:pPr>
        <w:pStyle w:val="ListBullet"/>
      </w:pPr>
      <w:r>
        <w:rPr>
          <w:b/>
        </w:rPr>
        <w:t>CCPA/CPRA (California Breach Notification)</w:t>
      </w:r>
    </w:p>
    <w:p>
      <w:pPr>
        <w:pStyle w:val="ListBullet"/>
      </w:pPr>
      <w:r>
        <w:rPr>
          <w:b/>
        </w:rPr>
        <w:t>PCI DSS (Incident Response and Data Security)</w:t>
      </w:r>
    </w:p>
    <w:p>
      <w:r>
        <w:br/>
      </w:r>
    </w:p>
    <w:p>
      <w:pPr>
        <w:pStyle w:val="Heading2"/>
      </w:pPr>
      <w:r>
        <w:t>8. Security Controls and Best Practices</w:t>
      </w:r>
    </w:p>
    <w:p>
      <w:r>
        <w:t>Based on cybersecai.io’s expert recommendations and the high-risk profile of data processed by OHP and its third parties, the following controls are mandatory:</w:t>
      </w:r>
    </w:p>
    <w:p>
      <w:pPr>
        <w:pStyle w:val="ListBullet"/>
      </w:pPr>
      <w:r>
        <w:rPr>
          <w:b/>
        </w:rPr>
        <w:t>Data Minimization &amp; Access Controls:</w:t>
      </w:r>
    </w:p>
    <w:p>
      <w:r>
        <w:t xml:space="preserve">  Implement least privilege and strong access controls (ISO/IEC 27001:2013 A.9, NIST AC-6).</w:t>
      </w:r>
    </w:p>
    <w:p>
      <w:pPr>
        <w:pStyle w:val="ListBullet"/>
      </w:pPr>
      <w:r>
        <w:rPr>
          <w:b/>
        </w:rPr>
        <w:t>Encryption:</w:t>
      </w:r>
    </w:p>
    <w:p>
      <w:r>
        <w:t xml:space="preserve">  Encrypt data at rest and in transit (ISO/IEC 27001:2013 A.10, NIST SC-13/SC-28, PCI DSS).</w:t>
      </w:r>
    </w:p>
    <w:p>
      <w:pPr>
        <w:pStyle w:val="ListBullet"/>
      </w:pPr>
      <w:r>
        <w:rPr>
          <w:b/>
        </w:rPr>
        <w:t>Multi-Factor Authentication:</w:t>
      </w:r>
    </w:p>
    <w:p>
      <w:r>
        <w:t xml:space="preserve">  Enforce MFA for all access to sensitive data (ISO/IEC 27001:2013 A.9.4.2, NIST IA-2).</w:t>
      </w:r>
    </w:p>
    <w:p>
      <w:pPr>
        <w:pStyle w:val="ListBullet"/>
      </w:pPr>
      <w:r>
        <w:rPr>
          <w:b/>
        </w:rPr>
        <w:t>Audit &amp; Monitoring:</w:t>
      </w:r>
    </w:p>
    <w:p>
      <w:r>
        <w:t xml:space="preserve">  Regularly audit and monitor access logs (ISO/IEC 27001:2013 A.12, NIST AU-2/AU-6).</w:t>
      </w:r>
    </w:p>
    <w:p>
      <w:pPr>
        <w:pStyle w:val="ListBullet"/>
      </w:pPr>
      <w:r>
        <w:rPr>
          <w:b/>
        </w:rPr>
        <w:t>Incident Response:</w:t>
      </w:r>
    </w:p>
    <w:p>
      <w:r>
        <w:t xml:space="preserve">  Maintain and test incident response and breach notification procedures (ISO/IEC 27035, NIST IR-4).</w:t>
      </w:r>
    </w:p>
    <w:p>
      <w:pPr>
        <w:pStyle w:val="ListBullet"/>
      </w:pPr>
      <w:r>
        <w:rPr>
          <w:b/>
        </w:rPr>
        <w:t>Security Awareness Training:</w:t>
      </w:r>
    </w:p>
    <w:p>
      <w:r>
        <w:t xml:space="preserve">  Conduct regular security training for all staff (ISO/IEC 27001:2013 A.7.2.2, NIST AT-2).</w:t>
      </w:r>
    </w:p>
    <w:p>
      <w:pPr>
        <w:pStyle w:val="ListBullet"/>
      </w:pPr>
      <w:r>
        <w:rPr>
          <w:b/>
        </w:rPr>
        <w:t>Secure Disposal:</w:t>
      </w:r>
    </w:p>
    <w:p>
      <w:r>
        <w:t xml:space="preserve">  Ensure secure disposal of sensitive data (ISO/IEC 27001:2013 A.8.3, NIST MP-6).</w:t>
      </w:r>
    </w:p>
    <w:p>
      <w:pPr>
        <w:pStyle w:val="ListBullet"/>
      </w:pPr>
      <w:r>
        <w:rPr>
          <w:b/>
        </w:rPr>
        <w:t>Vulnerability Management:</w:t>
      </w:r>
    </w:p>
    <w:p>
      <w:r>
        <w:t xml:space="preserve">  Perform regular vulnerability assessments and penetration testing (ISO/IEC 27001:2013 A.12.6.1, NIST RA-5).</w:t>
      </w:r>
    </w:p>
    <w:p>
      <w:r>
        <w:t>*These controls are informed by the cybersecai.io platform’s automated risk and compliance analysis (2024).*</w:t>
      </w:r>
    </w:p>
    <w:p>
      <w:r>
        <w:br/>
      </w:r>
    </w:p>
    <w:p>
      <w:pPr>
        <w:pStyle w:val="Heading2"/>
      </w:pPr>
      <w:r>
        <w:t>9. Review and Updates</w:t>
      </w:r>
    </w:p>
    <w:p>
      <w:r>
        <w:t>This Procedure shall be reviewed annually or following any significant breach event or regulatory change.</w:t>
      </w:r>
    </w:p>
    <w:p>
      <w:r>
        <w:br/>
      </w:r>
    </w:p>
    <w:p>
      <w:r>
        <w:t>**For questions or further guidance, contact the Privacy Officer at [Insert Contact Information].**</w:t>
      </w:r>
    </w:p>
    <w:p>
      <w:r>
        <w:br/>
      </w:r>
    </w:p>
    <w:p>
      <w:r>
        <w:t>*This document incorporates risk and compliance data from the cybersecai.io platform (2024), including regulatory mapping, risk ratings, and recommended controls. For further details, see cybersecai.io data sources: AWS S3, M365 outputs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