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Data Breach Management Procedure</w:t>
      </w:r>
    </w:p>
    <w:p>
      <w:r>
        <w:t xml:space="preserve">**cybersecai Pty Ltd**  </w:t>
      </w:r>
    </w:p>
    <w:p>
      <w:r>
        <w:t xml:space="preserve">**Version:** 1.0  </w:t>
      </w:r>
    </w:p>
    <w:p>
      <w:r>
        <w:t xml:space="preserve">**Effective Date:** [Insert Date]  </w:t>
      </w:r>
    </w:p>
    <w:p>
      <w:r>
        <w:t>**Owner:** Chief Privacy Officer</w:t>
      </w:r>
    </w:p>
    <w:p>
      <w:r>
        <w:br/>
      </w:r>
    </w:p>
    <w:p>
      <w:pPr>
        <w:pStyle w:val="Heading1"/>
      </w:pPr>
      <w:r>
        <w:t>1. Purpose</w:t>
      </w:r>
    </w:p>
    <w:p>
      <w:r>
        <w:t>This Procedure establishes the process for managing and coordinating data breaches involving third-party service providers (“Vendors”) that handle personal information on behalf of cybersecai Pty Ltd (“Company”). It aligns with the Privacy Act 1988 (Cth), the Notifiable Data Breaches (NDB) scheme, OAIC guidance on third-party breaches, and international standards such as GDPR and PCI DSS, as relevant to the types of data processed by the Company and its Vendors.</w:t>
      </w:r>
    </w:p>
    <w:p>
      <w:r>
        <w:br/>
      </w:r>
    </w:p>
    <w:p>
      <w:pPr>
        <w:pStyle w:val="Heading1"/>
      </w:pPr>
      <w:r>
        <w:t>2. Scope</w:t>
      </w:r>
    </w:p>
    <w:p>
      <w:r>
        <w:t>This Procedure applies to all actual or suspected data breaches involving Vendors, including cloud providers, SaaS platforms, consultants, and other external service providers with access to Company data. This includes, but is not limited to, incidents involving regulated data fields such as full name, address, date of birth, email address, bank account numbers, credit card numbers, tax file numbers, driver’s license numbers, login credentials, and other identifiers as detected by the cybersecai.io platform.</w:t>
      </w:r>
    </w:p>
    <w:p>
      <w:r>
        <w:br/>
      </w:r>
    </w:p>
    <w:p>
      <w:pPr>
        <w:pStyle w:val="Heading1"/>
      </w:pPr>
      <w:r>
        <w:t>3. Definitions</w:t>
      </w:r>
    </w:p>
    <w:p>
      <w:pPr>
        <w:pStyle w:val="ListBullet"/>
      </w:pPr>
      <w:r>
        <w:t>**Data Breach:** Unauthorised access to, disclosure of, or loss of personal information, including regulated data fields as identified under GDPR, the Australian Privacy Act, and PCI DSS.</w:t>
      </w:r>
    </w:p>
    <w:p>
      <w:pPr>
        <w:pStyle w:val="ListBullet"/>
      </w:pPr>
      <w:r>
        <w:t>**Vendor:** Any third-party entity engaged by the Company to process, store, or access Company data.</w:t>
      </w:r>
    </w:p>
    <w:p>
      <w:pPr>
        <w:pStyle w:val="ListBullet"/>
      </w:pPr>
      <w:r>
        <w:t>**OAIC:** Office of the Australian Information Commissioner.</w:t>
      </w:r>
    </w:p>
    <w:p>
      <w:pPr>
        <w:pStyle w:val="ListBullet"/>
      </w:pPr>
      <w:r>
        <w:t>**Sensitive Data:** Any data element identified as high risk under applicable privacy and security standards, including but not limited to: full name, address, date of birth, email address, financial account details, tax file numbers, driver’s license numbers, login credentials, device IDs, and payment card data.</w:t>
      </w:r>
    </w:p>
    <w:p>
      <w:r>
        <w:br/>
      </w:r>
    </w:p>
    <w:p>
      <w:pPr>
        <w:pStyle w:val="Heading1"/>
      </w:pPr>
      <w: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Chief Privacy Officer</w:t>
            </w:r>
          </w:p>
        </w:tc>
        <w:tc>
          <w:tcPr>
            <w:tcW w:type="dxa" w:w="4320"/>
          </w:tcPr>
          <w:p>
            <w:r>
              <w:t>Oversight, regulatory notification, and liaison with OAIC.</w:t>
            </w:r>
          </w:p>
        </w:tc>
      </w:tr>
      <w:tr>
        <w:tc>
          <w:tcPr>
            <w:tcW w:type="dxa" w:w="4320"/>
          </w:tcPr>
          <w:p>
            <w:r>
              <w:t>Legal Counsel</w:t>
            </w:r>
          </w:p>
        </w:tc>
        <w:tc>
          <w:tcPr>
            <w:tcW w:type="dxa" w:w="4320"/>
          </w:tcPr>
          <w:p>
            <w:r>
              <w:t>Legal risk assessment, contractual enforcement, and regulatory compliance.</w:t>
            </w:r>
          </w:p>
        </w:tc>
      </w:tr>
      <w:tr>
        <w:tc>
          <w:tcPr>
            <w:tcW w:type="dxa" w:w="4320"/>
          </w:tcPr>
          <w:p>
            <w:r>
              <w:t>IT Security Lead</w:t>
            </w:r>
          </w:p>
        </w:tc>
        <w:tc>
          <w:tcPr>
            <w:tcW w:type="dxa" w:w="4320"/>
          </w:tcPr>
          <w:p>
            <w:r>
              <w:t>Technical investigation, containment, and remediation.</w:t>
            </w:r>
          </w:p>
        </w:tc>
      </w:tr>
      <w:tr>
        <w:tc>
          <w:tcPr>
            <w:tcW w:type="dxa" w:w="4320"/>
          </w:tcPr>
          <w:p>
            <w:r>
              <w:t>Procurement Manager</w:t>
            </w:r>
          </w:p>
        </w:tc>
        <w:tc>
          <w:tcPr>
            <w:tcW w:type="dxa" w:w="4320"/>
          </w:tcPr>
          <w:p>
            <w:r>
              <w:t>Vendor communication and contractual review.</w:t>
            </w:r>
          </w:p>
        </w:tc>
      </w:tr>
      <w:tr>
        <w:tc>
          <w:tcPr>
            <w:tcW w:type="dxa" w:w="4320"/>
          </w:tcPr>
          <w:p>
            <w:r>
              <w:t>Business Unit Owner</w:t>
            </w:r>
          </w:p>
        </w:tc>
        <w:tc>
          <w:tcPr>
            <w:tcW w:type="dxa" w:w="4320"/>
          </w:tcPr>
          <w:p>
            <w:r>
              <w:t>Initial breach identification and escalation.</w:t>
            </w:r>
          </w:p>
        </w:tc>
      </w:tr>
    </w:tbl>
    <w:p>
      <w:r>
        <w:br/>
      </w:r>
    </w:p>
    <w:p>
      <w:pPr>
        <w:pStyle w:val="Heading1"/>
      </w:pPr>
      <w:r>
        <w:t>5. Procedure</w:t>
      </w:r>
    </w:p>
    <w:p>
      <w:pPr>
        <w:pStyle w:val="Heading2"/>
      </w:pPr>
      <w:r>
        <w:t>5.1. Breach Identification and Notification</w:t>
      </w:r>
    </w:p>
    <w:p>
      <w:pPr>
        <w:pStyle w:val="ListNumber"/>
      </w:pPr>
      <w:r>
        <w:t>**Vendor Obligation:**</w:t>
      </w:r>
    </w:p>
    <w:p>
      <w:r>
        <w:t xml:space="preserve">   Vendors must notify the Company of any actual or suspected data breach without undue delay, as per contractual terms. Notification must include details of all affected regulated data fields (e.g., full name, address, date of birth, email address, bank account or credit card numbers, tax file numbers, login credentials, etc.) as detected by the cybersecai.io platform.</w:t>
      </w:r>
    </w:p>
    <w:p>
      <w:pPr>
        <w:pStyle w:val="ListNumber"/>
      </w:pPr>
      <w:r>
        <w:t>**Internal Notification:**</w:t>
      </w:r>
    </w:p>
    <w:p>
      <w:r>
        <w:t xml:space="preserve">   Upon receipt of a Vendor breach notification, the Business Unit Owner must immediately inform the Chief Privacy Officer, IT Security Lead, and Legal Counsel.</w:t>
      </w:r>
    </w:p>
    <w:p>
      <w:pPr>
        <w:pStyle w:val="Heading2"/>
      </w:pPr>
      <w:r>
        <w:t>5.2. Initial Assessment</w:t>
      </w:r>
    </w:p>
    <w:p>
      <w:pPr>
        <w:pStyle w:val="ListNumber"/>
      </w:pPr>
      <w:r>
        <w:t>**Triage:**</w:t>
      </w:r>
    </w:p>
    <w:p>
      <w:r>
        <w:t xml:space="preserve">   The Chief Privacy Officer, with IT Security Lead and Legal Counsel, must:</w:t>
      </w:r>
    </w:p>
    <w:p>
      <w:pPr>
        <w:pStyle w:val="ListBullet"/>
      </w:pPr>
      <w:r>
        <w:t>Confirm breach details with Vendor (nature, scope, data involved, timing).</w:t>
      </w:r>
    </w:p>
    <w:p>
      <w:pPr>
        <w:pStyle w:val="ListBullet"/>
      </w:pPr>
      <w:r>
        <w:t>Assess potential impact on individuals and Company operations, with specific attention to high-risk data fields as flagged by the cybersecai.io platform, including but not limited to:</w:t>
      </w:r>
    </w:p>
    <w:p>
      <w:pPr>
        <w:pStyle w:val="ListBullet"/>
      </w:pPr>
      <w:r>
        <w:t>Full Name</w:t>
      </w:r>
    </w:p>
    <w:p>
      <w:pPr>
        <w:pStyle w:val="ListBullet"/>
      </w:pPr>
      <w:r>
        <w:t>Address</w:t>
      </w:r>
    </w:p>
    <w:p>
      <w:pPr>
        <w:pStyle w:val="ListBullet"/>
      </w:pPr>
      <w:r>
        <w:t>Date of Birth</w:t>
      </w:r>
    </w:p>
    <w:p>
      <w:pPr>
        <w:pStyle w:val="ListBullet"/>
      </w:pPr>
      <w:r>
        <w:t>Email Address</w:t>
      </w:r>
    </w:p>
    <w:p>
      <w:pPr>
        <w:pStyle w:val="ListBullet"/>
      </w:pPr>
      <w:r>
        <w:t>Bank Account Number</w:t>
      </w:r>
    </w:p>
    <w:p>
      <w:pPr>
        <w:pStyle w:val="ListBullet"/>
      </w:pPr>
      <w:r>
        <w:t>Credit Card Number</w:t>
      </w:r>
    </w:p>
    <w:p>
      <w:pPr>
        <w:pStyle w:val="ListBullet"/>
      </w:pPr>
      <w:r>
        <w:t>Tax File Number</w:t>
      </w:r>
    </w:p>
    <w:p>
      <w:pPr>
        <w:pStyle w:val="ListBullet"/>
      </w:pPr>
      <w:r>
        <w:t>Driver’s License Number</w:t>
      </w:r>
    </w:p>
    <w:p>
      <w:pPr>
        <w:pStyle w:val="ListBullet"/>
      </w:pPr>
      <w:r>
        <w:t>Login Credentials</w:t>
      </w:r>
    </w:p>
    <w:p>
      <w:pPr>
        <w:pStyle w:val="ListBullet"/>
      </w:pPr>
      <w:r>
        <w:t>Device ID</w:t>
      </w:r>
    </w:p>
    <w:p>
      <w:pPr>
        <w:pStyle w:val="ListNumber"/>
      </w:pPr>
      <w:r>
        <w:t>**Documentation:**</w:t>
      </w:r>
    </w:p>
    <w:p>
      <w:r>
        <w:t xml:space="preserve">   All communications and findings must be documented in the Data Breach Register, including the specific data fields involved and the risk rating as provided by the cybersecai.io platform.</w:t>
      </w:r>
    </w:p>
    <w:p>
      <w:pPr>
        <w:pStyle w:val="Heading2"/>
      </w:pPr>
      <w:r>
        <w:t>5.3. Containment and Mitigation</w:t>
      </w:r>
    </w:p>
    <w:p>
      <w:pPr>
        <w:pStyle w:val="ListNumber"/>
      </w:pPr>
      <w:r>
        <w:t>**Immediate Actions:**</w:t>
      </w:r>
    </w:p>
    <w:p>
      <w:pPr>
        <w:pStyle w:val="ListBullet"/>
      </w:pPr>
      <w:r>
        <w:t>Coordinate with Vendor to contain the breach and prevent further unauthorised access, especially where high-risk data fields are involved.</w:t>
      </w:r>
    </w:p>
    <w:p>
      <w:pPr>
        <w:pStyle w:val="ListBullet"/>
      </w:pPr>
      <w:r>
        <w:t>Suspend affected integrations or data flows if necessary.</w:t>
      </w:r>
    </w:p>
    <w:p>
      <w:pPr>
        <w:pStyle w:val="ListNumber"/>
      </w:pPr>
      <w:r>
        <w:t>**Remediation:**</w:t>
      </w:r>
    </w:p>
    <w:p>
      <w:pPr>
        <w:pStyle w:val="ListBullet"/>
      </w:pPr>
      <w:r>
        <w:t>Direct Vendor to implement corrective actions.</w:t>
      </w:r>
    </w:p>
    <w:p>
      <w:pPr>
        <w:pStyle w:val="ListBullet"/>
      </w:pPr>
      <w:r>
        <w:t>Monitor Vendor’s remediation progress, ensuring all high-risk data exposures are addressed.</w:t>
      </w:r>
    </w:p>
    <w:p>
      <w:pPr>
        <w:pStyle w:val="Heading2"/>
      </w:pPr>
      <w:r>
        <w:t>5.4. Evaluation and Risk Assessment</w:t>
      </w:r>
    </w:p>
    <w:p>
      <w:pPr>
        <w:pStyle w:val="ListNumber"/>
      </w:pPr>
      <w:r>
        <w:t>**Risk Analysis:**</w:t>
      </w:r>
    </w:p>
    <w:p>
      <w:pPr>
        <w:pStyle w:val="ListBullet"/>
      </w:pPr>
      <w:r>
        <w:t>Assess whether the breach is likely to result in serious harm to any individuals (refer to OAIC NDB Guidelines), with reference to the risk ratings and auditor agent views provided by the cybersecai.io platform. For example:</w:t>
      </w:r>
    </w:p>
    <w:p>
      <w:pPr>
        <w:pStyle w:val="ListBullet"/>
      </w:pPr>
      <w:r>
        <w:t>The presence of multiple regulated data fields (e.g., full name, address, date of birth, email, bank account/credit card numbers, tax file numbers, login credentials) in a single incident elevates risk to "High" under GDPR, the Australian Privacy Act, and PCI DSS.</w:t>
      </w:r>
    </w:p>
    <w:p>
      <w:pPr>
        <w:pStyle w:val="ListBullet"/>
      </w:pPr>
      <w:r>
        <w:t>The presence of identifiers such as Medicare number, tax file number, and driver’s license number triggers mandatory notification and high-risk categorisation.</w:t>
      </w:r>
    </w:p>
    <w:p>
      <w:pPr>
        <w:pStyle w:val="ListBullet"/>
      </w:pPr>
      <w:r>
        <w:t>Consider the sensitivity of data, affected individuals, and likelihood of misuse, as per cybersecai.io’s auditor agent view.</w:t>
      </w:r>
    </w:p>
    <w:p>
      <w:pPr>
        <w:pStyle w:val="ListNumber"/>
      </w:pPr>
      <w:r>
        <w:t>**Legal Review:**</w:t>
      </w:r>
    </w:p>
    <w:p>
      <w:pPr>
        <w:pStyle w:val="ListBullet"/>
      </w:pPr>
      <w:r>
        <w:t>Review Vendor’s contractual obligations and indemnities.</w:t>
      </w:r>
    </w:p>
    <w:p>
      <w:pPr>
        <w:pStyle w:val="ListBullet"/>
      </w:pPr>
      <w:r>
        <w:t>Assess notification requirements under the Privacy Act 1988 (Cth), GDPR, and PCI DSS, as applicable.</w:t>
      </w:r>
    </w:p>
    <w:p>
      <w:pPr>
        <w:pStyle w:val="Heading2"/>
      </w:pPr>
      <w:r>
        <w:t>5.5. Notification</w:t>
      </w:r>
    </w:p>
    <w:p>
      <w:pPr>
        <w:pStyle w:val="ListNumber"/>
      </w:pPr>
      <w:r>
        <w:t>**Regulatory Notification:**</w:t>
      </w:r>
    </w:p>
    <w:p>
      <w:pPr>
        <w:pStyle w:val="ListBullet"/>
      </w:pPr>
      <w:r>
        <w:t>If the breach is likely to result in serious harm, notify OAIC and affected individuals as soon as practicable (per NDB scheme, Part IIIC of the Privacy Act). Where GDPR or PCI DSS applies, notify the relevant supervisory authorities and payment processors, as required.</w:t>
      </w:r>
    </w:p>
    <w:p>
      <w:pPr>
        <w:pStyle w:val="ListBullet"/>
      </w:pPr>
      <w:r>
        <w:t>Coordinate with Vendor to ensure consistent messaging and avoid duplicate/conflicting notifications.</w:t>
      </w:r>
    </w:p>
    <w:p>
      <w:pPr>
        <w:pStyle w:val="ListNumber"/>
      </w:pPr>
      <w:r>
        <w:t>**Stakeholder Communication:**</w:t>
      </w:r>
    </w:p>
    <w:p>
      <w:pPr>
        <w:pStyle w:val="ListBullet"/>
      </w:pPr>
      <w:r>
        <w:t>Notify internal stakeholders and, where required, customers and partners, with clear information regarding the specific data fields involved and the risk assessment (e.g., “High” risk as determined by cybersecai.io platform).</w:t>
      </w:r>
    </w:p>
    <w:p>
      <w:pPr>
        <w:pStyle w:val="Heading2"/>
      </w:pPr>
      <w:r>
        <w:t>5.6. Post-Incident Review</w:t>
      </w:r>
    </w:p>
    <w:p>
      <w:pPr>
        <w:pStyle w:val="ListNumber"/>
      </w:pPr>
      <w:r>
        <w:t>**Debrief:**</w:t>
      </w:r>
    </w:p>
    <w:p>
      <w:pPr>
        <w:pStyle w:val="ListBullet"/>
      </w:pPr>
      <w:r>
        <w:t>Conduct a post-incident review to identify root causes and lessons learned, including analysis of the types of sensitive data exposed (as documented by cybersecai.io platform).</w:t>
      </w:r>
    </w:p>
    <w:p>
      <w:pPr>
        <w:pStyle w:val="ListBullet"/>
      </w:pPr>
      <w:r>
        <w:t>Update Vendor management processes and contractual terms as necessary, with reference to auditor-proposed actions (e.g., file quarantine, immediate review, or owner notification).</w:t>
      </w:r>
    </w:p>
    <w:p>
      <w:pPr>
        <w:pStyle w:val="ListNumber"/>
      </w:pPr>
      <w:r>
        <w:t>**Reporting:**</w:t>
      </w:r>
    </w:p>
    <w:p>
      <w:pPr>
        <w:pStyle w:val="ListBullet"/>
      </w:pPr>
      <w:r>
        <w:t>Prepare a final incident report for executive management and, if required, the Board, including:</w:t>
      </w:r>
    </w:p>
    <w:p>
      <w:pPr>
        <w:pStyle w:val="ListBullet"/>
      </w:pPr>
      <w:r>
        <w:t>The specific regulated data fields exposed</w:t>
      </w:r>
    </w:p>
    <w:p>
      <w:pPr>
        <w:pStyle w:val="ListBullet"/>
      </w:pPr>
      <w:r>
        <w:t>The overall risk rating (“High” if multiple sensitive fields are involved)</w:t>
      </w:r>
    </w:p>
    <w:p>
      <w:pPr>
        <w:pStyle w:val="ListBullet"/>
      </w:pPr>
      <w:r>
        <w:t>Actions taken in line with cybersecai.io platform recommendations</w:t>
      </w:r>
    </w:p>
    <w:p>
      <w:r>
        <w:br/>
      </w:r>
    </w:p>
    <w:p>
      <w:pPr>
        <w:pStyle w:val="Heading1"/>
      </w:pPr>
      <w:r>
        <w:t>6. Regulatory References</w:t>
      </w:r>
    </w:p>
    <w:p>
      <w:pPr>
        <w:pStyle w:val="ListBullet"/>
      </w:pPr>
      <w:r>
        <w:rPr>
          <w:b/>
        </w:rPr>
        <w:t>Privacy Act 1988 (Cth)</w:t>
      </w:r>
    </w:p>
    <w:p>
      <w:pPr>
        <w:pStyle w:val="ListBullet"/>
      </w:pPr>
      <w:r>
        <w:rPr>
          <w:b/>
        </w:rPr>
        <w:t>OAIC Notifiable Data Breaches Scheme Guidance</w:t>
      </w:r>
    </w:p>
    <w:p>
      <w:pPr>
        <w:pStyle w:val="ListBullet"/>
      </w:pPr>
      <w:r>
        <w:rPr>
          <w:b/>
        </w:rPr>
        <w:t>OAIC Guide to Securing Personal Information</w:t>
      </w:r>
    </w:p>
    <w:p>
      <w:pPr>
        <w:pStyle w:val="ListBullet"/>
      </w:pPr>
      <w:r>
        <w:rPr>
          <w:b/>
        </w:rPr>
        <w:t>OAIC Guide to Managing Data Breaches Involving Third Parties</w:t>
      </w:r>
    </w:p>
    <w:p>
      <w:pPr>
        <w:pStyle w:val="ListBullet"/>
      </w:pPr>
      <w:r>
        <w:rPr>
          <w:b/>
        </w:rPr>
        <w:t>General Data Protection Regulation (GDPR)</w:t>
      </w:r>
    </w:p>
    <w:p>
      <w:pPr>
        <w:pStyle w:val="ListBullet"/>
      </w:pPr>
      <w:r>
        <w:rPr>
          <w:b/>
        </w:rPr>
        <w:t>Payment Card Industry Data Security Standard (PCI DSS)</w:t>
      </w:r>
    </w:p>
    <w:p>
      <w:r>
        <w:br/>
      </w:r>
    </w:p>
    <w:p>
      <w:pPr>
        <w:pStyle w:val="Heading1"/>
      </w:pPr>
      <w:r>
        <w:t>7. Related Documents</w:t>
      </w:r>
    </w:p>
    <w:p>
      <w:pPr>
        <w:pStyle w:val="ListBullet"/>
      </w:pPr>
      <w:r>
        <w:t>Data Breach Response Plan</w:t>
      </w:r>
    </w:p>
    <w:p>
      <w:pPr>
        <w:pStyle w:val="ListBullet"/>
      </w:pPr>
      <w:r>
        <w:t>Vendor Management Policy</w:t>
      </w:r>
    </w:p>
    <w:p>
      <w:pPr>
        <w:pStyle w:val="ListBullet"/>
      </w:pPr>
      <w:r>
        <w:t>Incident Management Policy</w:t>
      </w:r>
    </w:p>
    <w:p>
      <w:pPr>
        <w:pStyle w:val="ListBullet"/>
      </w:pPr>
      <w:r>
        <w:t>Data Breach Register</w:t>
      </w:r>
    </w:p>
    <w:p>
      <w:r>
        <w:br/>
      </w:r>
    </w:p>
    <w:p>
      <w:pPr>
        <w:pStyle w:val="Heading1"/>
      </w:pPr>
      <w:r>
        <w:t>8. Review</w:t>
      </w:r>
    </w:p>
    <w:p>
      <w:r>
        <w:t>This Procedure will be reviewed annually or following any significant data breach incident involving a Vendor, particularly where the cybersecai.io platform identifies a “High” risk rating or recommends quarantine or immediate review.</w:t>
      </w:r>
    </w:p>
    <w:p>
      <w:r>
        <w:br/>
      </w:r>
    </w:p>
    <w:p>
      <w:r>
        <w:t xml:space="preserve">**Note:**  </w:t>
      </w:r>
    </w:p>
    <w:p>
      <w:r>
        <w:t>This Procedure incorporates expert data risk analysis and recommendations as provided by the cybersecai.io platform, including real-time detection of regulated data fields, risk ratings, and auditor-proposed actions (e.g., file quarantine, owner notification, immediate review). The presence of multiple regulated data fields—such as full names, addresses, dates of birth, email addresses, financial account numbers, tax file numbers, driver’s license numbers, login credentials, and payment card data—triggers a “High” risk rating and mandates strict adherence to this Procedure.</w:t>
      </w:r>
    </w:p>
    <w:p>
      <w:r>
        <w:br/>
      </w:r>
    </w:p>
    <w:p>
      <w:r>
        <w:t xml:space="preserve">*Approved by: [Name, Title]*  </w:t>
      </w:r>
    </w:p>
    <w:p>
      <w:r>
        <w:t>*Date: [Insert Date]*</w:t>
      </w:r>
    </w:p>
    <w:p>
      <w:r>
        <w:br/>
      </w:r>
    </w:p>
    <w:p>
      <w:r>
        <w:t>_Sources: Data risk and field detection results referenced herein are derived from the cybersecai.io platform and associated M365/SMB data audits._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