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CybersecAI.IO Pty Ltd</w:t>
      </w:r>
    </w:p>
    <w:p>
      <w:pPr>
        <w:pStyle w:val="Heading1"/>
      </w:pPr>
      <w:r>
        <w:t>Data Breach Assessment Template</w:t>
      </w:r>
    </w:p>
    <w:p>
      <w:r>
        <w:t xml:space="preserve">**Purpose:**  </w:t>
      </w:r>
    </w:p>
    <w:p>
      <w:r>
        <w:t>To provide a standardised, legally compliant framework for assessing the severity and impact of suspected or confirmed data breaches, in accordance with the Privacy Act 1988 (Cth), the Notifiable Data Breaches (NDB) scheme, and OAIC guidance.</w:t>
      </w:r>
    </w:p>
    <w:p>
      <w:r>
        <w:br/>
      </w:r>
    </w:p>
    <w:p>
      <w:pPr>
        <w:pStyle w:val="Heading1"/>
      </w:pPr>
      <w:r>
        <w:t>1. Breach Identification</w:t>
      </w:r>
    </w:p>
    <w:p>
      <w:pPr>
        <w:pStyle w:val="ListBullet"/>
      </w:pPr>
      <w:r>
        <w:rPr>
          <w:b/>
        </w:rPr>
        <w:t>Date/Time Detected:</w:t>
      </w:r>
    </w:p>
    <w:p>
      <w:r>
        <w:t xml:space="preserve">  2024-06-25, 09:30 AEST</w:t>
      </w:r>
    </w:p>
    <w:p>
      <w:pPr>
        <w:pStyle w:val="ListBullet"/>
      </w:pPr>
      <w:r>
        <w:rPr>
          <w:b/>
        </w:rPr>
        <w:t>Detection Method:</w:t>
      </w:r>
    </w:p>
    <w:p>
      <w:r>
        <w:t xml:space="preserve">  Automated DLP alert and subsequent review of sensitive data flagged by CybersecAI.IO platform.</w:t>
      </w:r>
    </w:p>
    <w:p>
      <w:pPr>
        <w:pStyle w:val="ListBullet"/>
      </w:pPr>
      <w:r>
        <w:rPr>
          <w:b/>
        </w:rPr>
        <w:t>Reported By:</w:t>
      </w:r>
    </w:p>
    <w:p>
      <w:r>
        <w:t xml:space="preserve">  Security Operations Centre (SOC)</w:t>
      </w:r>
    </w:p>
    <w:p>
      <w:pPr>
        <w:pStyle w:val="ListBullet"/>
      </w:pPr>
      <w:r>
        <w:rPr>
          <w:b/>
        </w:rPr>
        <w:t>Breach Reference Number:</w:t>
      </w:r>
    </w:p>
    <w:p>
      <w:r>
        <w:t xml:space="preserve">  CS-AI-2024-0625</w:t>
      </w:r>
    </w:p>
    <w:p>
      <w:pPr>
        <w:pStyle w:val="ListBullet"/>
      </w:pPr>
      <w:r>
        <w:rPr>
          <w:b/>
        </w:rPr>
        <w:t>Initial Assessor:</w:t>
      </w:r>
    </w:p>
    <w:p>
      <w:r>
        <w:t xml:space="preserve">  [Redacted for privacy]</w:t>
      </w:r>
    </w:p>
    <w:p>
      <w:pPr>
        <w:pStyle w:val="ListBullet"/>
      </w:pPr>
      <w:r>
        <w:rPr>
          <w:b/>
        </w:rPr>
        <w:t>Date of Assessment:</w:t>
      </w:r>
    </w:p>
    <w:p>
      <w:r>
        <w:t xml:space="preserve">  2024-06-25</w:t>
      </w:r>
    </w:p>
    <w:p>
      <w:r>
        <w:br/>
      </w:r>
    </w:p>
    <w:p>
      <w:pPr>
        <w:pStyle w:val="Heading1"/>
      </w:pPr>
      <w:r>
        <w:t>2. Description of Incident</w:t>
      </w:r>
    </w:p>
    <w:p>
      <w:pPr>
        <w:pStyle w:val="ListBullet"/>
      </w:pPr>
      <w:r>
        <w:rPr>
          <w:b/>
        </w:rPr>
        <w:t>Summary of Incident:</w:t>
      </w:r>
    </w:p>
    <w:p>
      <w:r>
        <w:t xml:space="preserve">  Multiple files containing highly sensitive and regulated personal information were detected on M365 and SMB file shares. Automated analysis by the CybersecAI.IO platform identified the presence of data regulated under the Australian Privacy Act, UK GDPR, PCI DSS, and CCPA/CPRA. The files included personal identifiers, financial data, health information, and government-issued numbers. Exposure was possible due to misconfigured access permissions.</w:t>
      </w:r>
    </w:p>
    <w:p>
      <w:pPr>
        <w:pStyle w:val="ListBullet"/>
      </w:pPr>
      <w:r>
        <w:rPr>
          <w:b/>
        </w:rPr>
        <w:t>Type of Breach:</w:t>
      </w:r>
    </w:p>
    <w:p>
      <w:r>
        <w:t xml:space="preserve">  Unauthorised access and potential disclosure</w:t>
      </w:r>
    </w:p>
    <w:p>
      <w:pPr>
        <w:pStyle w:val="ListBullet"/>
      </w:pPr>
      <w:r>
        <w:rPr>
          <w:b/>
        </w:rPr>
        <w:t>Systems/Data Involved:</w:t>
      </w:r>
    </w:p>
    <w:p>
      <w:r>
        <w:t xml:space="preserve">  M365 SharePoint/OneDrive, SMB file shares</w:t>
      </w:r>
    </w:p>
    <w:p>
      <w:pPr>
        <w:pStyle w:val="ListBullet"/>
      </w:pPr>
      <w:r>
        <w:rPr>
          <w:b/>
        </w:rPr>
        <w:t>Location of Breach:</w:t>
      </w:r>
    </w:p>
    <w:p>
      <w:r>
        <w:t xml:space="preserve">  Internal corporate network and cloud storage</w:t>
      </w:r>
    </w:p>
    <w:p>
      <w:pPr>
        <w:pStyle w:val="ListBullet"/>
      </w:pPr>
      <w:r>
        <w:rPr>
          <w:b/>
        </w:rPr>
        <w:t>Suspected Cause:</w:t>
      </w:r>
    </w:p>
    <w:p>
      <w:r>
        <w:t xml:space="preserve">  Misconfigured access controls permitting broader-than-intended access to sensitive files.</w:t>
      </w:r>
    </w:p>
    <w:p>
      <w:pPr>
        <w:pStyle w:val="ListBullet"/>
      </w:pPr>
      <w:r>
        <w:rPr>
          <w:b/>
        </w:rPr>
        <w:t>Containment Actions Taken:</w:t>
      </w:r>
    </w:p>
    <w:p>
      <w:pPr>
        <w:pStyle w:val="ListBullet2"/>
      </w:pPr>
      <w:r>
        <w:t>Immediate quarantine of affected files as per CybersecAI.IO recommendations.</w:t>
      </w:r>
    </w:p>
    <w:p>
      <w:pPr>
        <w:pStyle w:val="ListBullet2"/>
      </w:pPr>
      <w:r>
        <w:t>Revocation of excessive permissions.</w:t>
      </w:r>
    </w:p>
    <w:p>
      <w:pPr>
        <w:pStyle w:val="ListBullet2"/>
      </w:pPr>
      <w:r>
        <w:t>Notification to IT and Privacy teams for further review.</w:t>
      </w:r>
    </w:p>
    <w:p>
      <w:r>
        <w:br/>
      </w:r>
    </w:p>
    <w:p>
      <w:pPr>
        <w:pStyle w:val="Heading1"/>
      </w:pPr>
      <w:r>
        <w:t>3. Data Involved</w:t>
      </w:r>
    </w:p>
    <w:p>
      <w:pPr>
        <w:pStyle w:val="ListBullet"/>
      </w:pPr>
      <w:r>
        <w:rPr>
          <w:b/>
        </w:rPr>
        <w:t>Categories of Personal Information Affected:</w:t>
      </w:r>
    </w:p>
    <w:p>
      <w:pPr>
        <w:pStyle w:val="ListBullet2"/>
      </w:pPr>
      <w:r>
        <w:t>[x] Names</w:t>
      </w:r>
    </w:p>
    <w:p>
      <w:pPr>
        <w:pStyle w:val="ListBullet2"/>
      </w:pPr>
      <w:r>
        <w:t>[x] Contact Details (Email Address, Phone Number, Address)</w:t>
      </w:r>
    </w:p>
    <w:p>
      <w:pPr>
        <w:pStyle w:val="ListBullet2"/>
      </w:pPr>
      <w:r>
        <w:t>[x] Financial Information (Credit Card Number, Financial Account, Transaction Amount, Payroll/Remuneration)</w:t>
      </w:r>
    </w:p>
    <w:p>
      <w:pPr>
        <w:pStyle w:val="ListBullet2"/>
      </w:pPr>
      <w:r>
        <w:t>[x] Health Information (Medicare Number)</w:t>
      </w:r>
    </w:p>
    <w:p>
      <w:pPr>
        <w:pStyle w:val="ListBullet2"/>
      </w:pPr>
      <w:r>
        <w:t>[x] Government Identifiers (Tax File Number, Australian Business Number, Driver’s License, SSN)</w:t>
      </w:r>
    </w:p>
    <w:p>
      <w:pPr>
        <w:pStyle w:val="ListBullet2"/>
      </w:pPr>
      <w:r>
        <w:t>[x] Other (specify): Login Credentials, Tax Invoice, Payment Receipts</w:t>
      </w:r>
    </w:p>
    <w:p>
      <w:pPr>
        <w:pStyle w:val="ListBullet"/>
      </w:pPr>
      <w:r>
        <w:rPr>
          <w:b/>
        </w:rPr>
        <w:t>Number of Individuals Potentially Affected:</w:t>
      </w:r>
    </w:p>
    <w:p>
      <w:r>
        <w:t xml:space="preserve">  Estimated 100–500 (pending further analysis)</w:t>
      </w:r>
    </w:p>
    <w:p>
      <w:pPr>
        <w:pStyle w:val="ListBullet"/>
      </w:pPr>
      <w:r>
        <w:rPr>
          <w:b/>
        </w:rPr>
        <w:t>Sensitive Information Involved:</w:t>
      </w:r>
    </w:p>
    <w:p>
      <w:r>
        <w:t xml:space="preserve">  Y  </w:t>
      </w:r>
    </w:p>
    <w:p>
      <w:r>
        <w:t xml:space="preserve">  Details:  </w:t>
      </w:r>
    </w:p>
    <w:p>
      <w:pPr>
        <w:pStyle w:val="ListBullet"/>
      </w:pPr>
      <w:r>
        <w:t>Credit Card Numbers, CVV/CVC, Expiration Dates</w:t>
      </w:r>
    </w:p>
    <w:p>
      <w:pPr>
        <w:pStyle w:val="ListBullet"/>
      </w:pPr>
      <w:r>
        <w:t>Medicare Number</w:t>
      </w:r>
    </w:p>
    <w:p>
      <w:pPr>
        <w:pStyle w:val="ListBullet"/>
      </w:pPr>
      <w:r>
        <w:t>Tax File Number, Social Security Number</w:t>
      </w:r>
    </w:p>
    <w:p>
      <w:pPr>
        <w:pStyle w:val="ListBullet"/>
      </w:pPr>
      <w:r>
        <w:t>Login Credentials</w:t>
      </w:r>
    </w:p>
    <w:p>
      <w:pPr>
        <w:pStyle w:val="ListBullet"/>
      </w:pPr>
      <w:r>
        <w:t>Payroll/Remuneration data</w:t>
      </w:r>
    </w:p>
    <w:p>
      <w:pPr>
        <w:pStyle w:val="ListBullet"/>
      </w:pPr>
      <w:r>
        <w:rPr>
          <w:b/>
        </w:rPr>
        <w:t>Is the information encrypted, anonymised, or otherwise protected?</w:t>
      </w:r>
    </w:p>
    <w:p>
      <w:r>
        <w:t xml:space="preserve">  N  </w:t>
      </w:r>
    </w:p>
    <w:p>
      <w:r>
        <w:t xml:space="preserve">  Details:  </w:t>
      </w:r>
    </w:p>
    <w:p>
      <w:r>
        <w:t xml:space="preserve">  Files were accessible in plaintext; no evidence of encryption or tokenisation.</w:t>
      </w:r>
    </w:p>
    <w:p>
      <w:r>
        <w:br/>
      </w:r>
    </w:p>
    <w:p>
      <w:pPr>
        <w:pStyle w:val="Heading1"/>
      </w:pPr>
      <w:r>
        <w:t>4. Risk Assessment</w:t>
      </w:r>
    </w:p>
    <w:p>
      <w:pPr>
        <w:pStyle w:val="ListBullet"/>
      </w:pPr>
      <w:r>
        <w:rPr>
          <w:b/>
        </w:rPr>
        <w:t>Likelihood of Serious Harm:</w:t>
      </w:r>
    </w:p>
    <w:p>
      <w:r>
        <w:t xml:space="preserve">  High  </w:t>
      </w:r>
    </w:p>
    <w:p>
      <w:r>
        <w:t xml:space="preserve">  *Based on CybersecAI.IO platform findings, the presence of unencrypted, highly sensitive data (financial, health, government IDs, login credentials) and the potential for broad unauthorised access significantly increases the risk of identity theft, financial fraud, and privacy harm. The risk is classified as "High" under all relevant standards (Australian Privacy Act, UK GDPR, PCI DSS, CCPA/CPRA).*</w:t>
      </w:r>
    </w:p>
    <w:p>
      <w:pPr>
        <w:pStyle w:val="ListBullet"/>
      </w:pPr>
      <w:r>
        <w:rPr>
          <w:b/>
        </w:rPr>
        <w:t>Potential Consequences for Individuals:</w:t>
      </w:r>
    </w:p>
    <w:p>
      <w:pPr>
        <w:pStyle w:val="ListBullet2"/>
      </w:pPr>
      <w:r>
        <w:t>[x] Financial loss</w:t>
      </w:r>
    </w:p>
    <w:p>
      <w:pPr>
        <w:pStyle w:val="ListBullet2"/>
      </w:pPr>
      <w:r>
        <w:t>[x] Identity theft</w:t>
      </w:r>
    </w:p>
    <w:p>
      <w:pPr>
        <w:pStyle w:val="ListBullet2"/>
      </w:pPr>
      <w:r>
        <w:t>[x] Reputational damage</w:t>
      </w:r>
    </w:p>
    <w:p>
      <w:pPr>
        <w:pStyle w:val="ListBullet2"/>
      </w:pPr>
      <w:r>
        <w:t>[x] Emotional distress</w:t>
      </w:r>
    </w:p>
    <w:p>
      <w:pPr>
        <w:pStyle w:val="ListBullet2"/>
      </w:pPr>
      <w:r>
        <w:t>[x] Other (specify): Unauthorised access to payroll and health data</w:t>
      </w:r>
    </w:p>
    <w:p>
      <w:pPr>
        <w:pStyle w:val="ListBullet"/>
      </w:pPr>
      <w:r>
        <w:rPr>
          <w:b/>
        </w:rPr>
        <w:t>Vulnerable Individuals Affected:</w:t>
      </w:r>
    </w:p>
    <w:p>
      <w:r>
        <w:t xml:space="preserve">  Potentially includes children and at-risk persons (pending further data mapping).</w:t>
      </w:r>
    </w:p>
    <w:p>
      <w:pPr>
        <w:pStyle w:val="ListBullet"/>
      </w:pPr>
      <w:r>
        <w:rPr>
          <w:b/>
        </w:rPr>
        <w:t>Assessment of Ongoing Risk:</w:t>
      </w:r>
    </w:p>
    <w:p>
      <w:r>
        <w:t xml:space="preserve">  Ongoing risk is high until all access is remediated and affected individuals are notified. There is a risk of further unauthorised disclosure if additional copies exist or if data has been exfiltrated.</w:t>
      </w:r>
    </w:p>
    <w:p>
      <w:pPr>
        <w:pStyle w:val="ListBullet"/>
      </w:pPr>
      <w:r>
        <w:rPr>
          <w:b/>
        </w:rPr>
        <w:t>Mitigation Steps Proposed/Implemented:</w:t>
      </w:r>
    </w:p>
    <w:p>
      <w:pPr>
        <w:pStyle w:val="ListBullet2"/>
      </w:pPr>
      <w:r>
        <w:t>Quarantine of affected files (per CybersecAI.IO recommendation).</w:t>
      </w:r>
    </w:p>
    <w:p>
      <w:pPr>
        <w:pStyle w:val="ListBullet2"/>
      </w:pPr>
      <w:r>
        <w:t>Immediate review and tightening of access controls.</w:t>
      </w:r>
    </w:p>
    <w:p>
      <w:pPr>
        <w:pStyle w:val="ListBullet2"/>
      </w:pPr>
      <w:r>
        <w:t>Notification to data owners and privacy team.</w:t>
      </w:r>
    </w:p>
    <w:p>
      <w:pPr>
        <w:pStyle w:val="ListBullet2"/>
      </w:pPr>
      <w:r>
        <w:t>Initiation of forensic review to determine scope and access logs.</w:t>
      </w:r>
    </w:p>
    <w:p>
      <w:pPr>
        <w:pStyle w:val="ListBullet2"/>
      </w:pPr>
      <w:r>
        <w:t>Preparation of notification drafts for OAIC and affected individuals.</w:t>
      </w:r>
    </w:p>
    <w:p>
      <w:r>
        <w:br/>
      </w:r>
    </w:p>
    <w:p>
      <w:pPr>
        <w:pStyle w:val="Heading1"/>
      </w:pPr>
      <w:r>
        <w:t>5. Notification Assessment</w:t>
      </w:r>
    </w:p>
    <w:p>
      <w:pPr>
        <w:pStyle w:val="ListBullet"/>
      </w:pPr>
      <w:r>
        <w:rPr>
          <w:b/>
        </w:rPr>
        <w:t>Does the breach meet the NDB scheme’s ‘eligible data breach’ threshold?</w:t>
      </w:r>
    </w:p>
    <w:p>
      <w:r>
        <w:t xml:space="preserve">  Y  </w:t>
      </w:r>
    </w:p>
    <w:p>
      <w:r>
        <w:t xml:space="preserve">  *Rationale: The breach involves unauthorised access to unencrypted, highly sensitive personal information, creating a likely risk of serious harm to affected individuals (Privacy Act 1988 (Cth) s 26WE).*</w:t>
      </w:r>
    </w:p>
    <w:p>
      <w:pPr>
        <w:pStyle w:val="ListBullet"/>
      </w:pPr>
      <w:r>
        <w:rPr>
          <w:b/>
        </w:rPr>
        <w:t>OAIC Notification Required?</w:t>
      </w:r>
    </w:p>
    <w:p>
      <w:r>
        <w:t xml:space="preserve">  Y</w:t>
      </w:r>
    </w:p>
    <w:p>
      <w:pPr>
        <w:pStyle w:val="ListBullet"/>
      </w:pPr>
      <w:r>
        <w:rPr>
          <w:b/>
        </w:rPr>
        <w:t>Individuals Notification Required?</w:t>
      </w:r>
    </w:p>
    <w:p>
      <w:r>
        <w:t xml:space="preserve">  Y</w:t>
      </w:r>
    </w:p>
    <w:p>
      <w:pPr>
        <w:pStyle w:val="ListBullet"/>
      </w:pPr>
      <w:r>
        <w:rPr>
          <w:b/>
        </w:rPr>
        <w:t>Recommended Notification Method:</w:t>
      </w:r>
    </w:p>
    <w:p>
      <w:r>
        <w:t xml:space="preserve">  Direct notification to affected individuals (email/letter), supplemented by public statement if contact details are incomplete.</w:t>
      </w:r>
    </w:p>
    <w:p>
      <w:pPr>
        <w:pStyle w:val="ListBullet"/>
      </w:pPr>
      <w:r>
        <w:rPr>
          <w:b/>
        </w:rPr>
        <w:t>Draft Notification Prepared:</w:t>
      </w:r>
    </w:p>
    <w:p>
      <w:r>
        <w:t xml:space="preserve">  Y (attached separately)</w:t>
      </w:r>
    </w:p>
    <w:p>
      <w:r>
        <w:br/>
      </w:r>
    </w:p>
    <w:p>
      <w:pPr>
        <w:pStyle w:val="Heading1"/>
      </w:pPr>
      <w:r>
        <w:t>6. Regulatory and Legal Considerations</w:t>
      </w:r>
    </w:p>
    <w:p>
      <w:pPr>
        <w:pStyle w:val="ListBullet"/>
      </w:pPr>
      <w:r>
        <w:rPr>
          <w:b/>
        </w:rPr>
        <w:t>OAIC Guidance Consulted:</w:t>
      </w:r>
    </w:p>
    <w:p>
      <w:r>
        <w:t xml:space="preserve">  Y  </w:t>
      </w:r>
    </w:p>
    <w:p>
      <w:r>
        <w:t xml:space="preserve">  Details:  </w:t>
      </w:r>
    </w:p>
    <w:p>
      <w:pPr>
        <w:pStyle w:val="ListBullet"/>
      </w:pPr>
      <w:r>
        <w:t>OAIC Data Breach Preparation and Response Guide</w:t>
      </w:r>
    </w:p>
    <w:p>
      <w:pPr>
        <w:pStyle w:val="ListBullet"/>
      </w:pPr>
      <w:r>
        <w:t>OAIC Notifiable Data Breaches Scheme</w:t>
      </w:r>
    </w:p>
    <w:p>
      <w:pPr>
        <w:pStyle w:val="ListBullet"/>
      </w:pPr>
      <w:r>
        <w:rPr>
          <w:b/>
        </w:rPr>
        <w:t>Other Regulatory Bodies Notified:</w:t>
      </w:r>
    </w:p>
    <w:p>
      <w:r>
        <w:t xml:space="preserve">  To be determined (pending confirmation of data subjects’ jurisdictions; possible UK ICO and US authorities if data subjects are in those regions).</w:t>
      </w:r>
    </w:p>
    <w:p>
      <w:pPr>
        <w:pStyle w:val="ListBullet"/>
      </w:pPr>
      <w:r>
        <w:rPr>
          <w:b/>
        </w:rPr>
        <w:t>Law Enforcement Involvement:</w:t>
      </w:r>
    </w:p>
    <w:p>
      <w:r>
        <w:t xml:space="preserve">  N (to be reviewed if evidence of criminal exfiltration emerges)</w:t>
      </w:r>
    </w:p>
    <w:p>
      <w:pPr>
        <w:pStyle w:val="ListBullet"/>
      </w:pPr>
      <w:r>
        <w:rPr>
          <w:b/>
        </w:rPr>
        <w:t>Contractual/Third Party Obligations Triggered:</w:t>
      </w:r>
    </w:p>
    <w:p>
      <w:r>
        <w:t xml:space="preserve">  Y  </w:t>
      </w:r>
    </w:p>
    <w:p>
      <w:r>
        <w:t xml:space="preserve">  Details:  </w:t>
      </w:r>
    </w:p>
    <w:p>
      <w:pPr>
        <w:pStyle w:val="ListBullet"/>
      </w:pPr>
      <w:r>
        <w:t>Review of relevant customer and vendor contracts for notification and remediation obligations.</w:t>
      </w:r>
    </w:p>
    <w:p>
      <w:r>
        <w:br/>
      </w:r>
    </w:p>
    <w:p>
      <w:pPr>
        <w:pStyle w:val="Heading1"/>
      </w:pPr>
      <w:r>
        <w:t>7. Action Plan &amp; Responsibilities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Action Item</w:t>
            </w:r>
          </w:p>
        </w:tc>
        <w:tc>
          <w:tcPr>
            <w:tcW w:type="dxa" w:w="2160"/>
          </w:tcPr>
          <w:p>
            <w:r>
              <w:t>Responsible Person/Team</w:t>
            </w:r>
          </w:p>
        </w:tc>
        <w:tc>
          <w:tcPr>
            <w:tcW w:type="dxa" w:w="2160"/>
          </w:tcPr>
          <w:p>
            <w:r>
              <w:t>Due Date</w:t>
            </w:r>
          </w:p>
        </w:tc>
        <w:tc>
          <w:tcPr>
            <w:tcW w:type="dxa" w:w="2160"/>
          </w:tcPr>
          <w:p>
            <w:r>
              <w:t>Status</w:t>
            </w:r>
          </w:p>
        </w:tc>
      </w:tr>
      <w:tr>
        <w:tc>
          <w:tcPr>
            <w:tcW w:type="dxa" w:w="2160"/>
          </w:tcPr>
          <w:p>
            <w:r>
              <w:t>Containment</w:t>
            </w:r>
          </w:p>
        </w:tc>
        <w:tc>
          <w:tcPr>
            <w:tcW w:type="dxa" w:w="2160"/>
          </w:tcPr>
          <w:p>
            <w:r>
              <w:t>IT Security</w:t>
            </w:r>
          </w:p>
        </w:tc>
        <w:tc>
          <w:tcPr>
            <w:tcW w:type="dxa" w:w="2160"/>
          </w:tcPr>
          <w:p>
            <w:r>
              <w:t>Immediate</w:t>
            </w:r>
          </w:p>
        </w:tc>
        <w:tc>
          <w:tcPr>
            <w:tcW w:type="dxa" w:w="2160"/>
          </w:tcPr>
          <w:p>
            <w:r>
              <w:t>Complete</w:t>
            </w:r>
          </w:p>
        </w:tc>
      </w:tr>
      <w:tr>
        <w:tc>
          <w:tcPr>
            <w:tcW w:type="dxa" w:w="2160"/>
          </w:tcPr>
          <w:p>
            <w:r>
              <w:t>Eradication/Remediation</w:t>
            </w:r>
          </w:p>
        </w:tc>
        <w:tc>
          <w:tcPr>
            <w:tcW w:type="dxa" w:w="2160"/>
          </w:tcPr>
          <w:p>
            <w:r>
              <w:t>IT Security</w:t>
            </w:r>
          </w:p>
        </w:tc>
        <w:tc>
          <w:tcPr>
            <w:tcW w:type="dxa" w:w="2160"/>
          </w:tcPr>
          <w:p>
            <w:r>
              <w:t>2024-06-26</w:t>
            </w:r>
          </w:p>
        </w:tc>
        <w:tc>
          <w:tcPr>
            <w:tcW w:type="dxa" w:w="2160"/>
          </w:tcPr>
          <w:p>
            <w:r>
              <w:t>In Progress</w:t>
            </w:r>
          </w:p>
        </w:tc>
      </w:tr>
      <w:tr>
        <w:tc>
          <w:tcPr>
            <w:tcW w:type="dxa" w:w="2160"/>
          </w:tcPr>
          <w:p>
            <w:r>
              <w:t>Notification (OAIC/Individuals)</w:t>
            </w:r>
          </w:p>
        </w:tc>
        <w:tc>
          <w:tcPr>
            <w:tcW w:type="dxa" w:w="2160"/>
          </w:tcPr>
          <w:p>
            <w:r>
              <w:t>Privacy Officer</w:t>
            </w:r>
          </w:p>
        </w:tc>
        <w:tc>
          <w:tcPr>
            <w:tcW w:type="dxa" w:w="2160"/>
          </w:tcPr>
          <w:p>
            <w:r>
              <w:t>2024-06-28</w:t>
            </w:r>
          </w:p>
        </w:tc>
        <w:tc>
          <w:tcPr>
            <w:tcW w:type="dxa" w:w="2160"/>
          </w:tcPr>
          <w:p>
            <w:r>
              <w:t>Drafted</w:t>
            </w:r>
          </w:p>
        </w:tc>
      </w:tr>
      <w:tr>
        <w:tc>
          <w:tcPr>
            <w:tcW w:type="dxa" w:w="2160"/>
          </w:tcPr>
          <w:p>
            <w:r>
              <w:t>Communication (Internal/External)</w:t>
            </w:r>
          </w:p>
        </w:tc>
        <w:tc>
          <w:tcPr>
            <w:tcW w:type="dxa" w:w="2160"/>
          </w:tcPr>
          <w:p>
            <w:r>
              <w:t>Communications</w:t>
            </w:r>
          </w:p>
        </w:tc>
        <w:tc>
          <w:tcPr>
            <w:tcW w:type="dxa" w:w="2160"/>
          </w:tcPr>
          <w:p>
            <w:r>
              <w:t>2024-06-28</w:t>
            </w:r>
          </w:p>
        </w:tc>
        <w:tc>
          <w:tcPr>
            <w:tcW w:type="dxa" w:w="2160"/>
          </w:tcPr>
          <w:p>
            <w:r>
              <w:t>Pending</w:t>
            </w:r>
          </w:p>
        </w:tc>
      </w:tr>
      <w:tr>
        <w:tc>
          <w:tcPr>
            <w:tcW w:type="dxa" w:w="2160"/>
          </w:tcPr>
          <w:p>
            <w:r>
              <w:t>Review &amp; Lessons Learned</w:t>
            </w:r>
          </w:p>
        </w:tc>
        <w:tc>
          <w:tcPr>
            <w:tcW w:type="dxa" w:w="2160"/>
          </w:tcPr>
          <w:p>
            <w:r>
              <w:t>Risk &amp; Compliance</w:t>
            </w:r>
          </w:p>
        </w:tc>
        <w:tc>
          <w:tcPr>
            <w:tcW w:type="dxa" w:w="2160"/>
          </w:tcPr>
          <w:p>
            <w:r>
              <w:t>2024-07-05</w:t>
            </w:r>
          </w:p>
        </w:tc>
        <w:tc>
          <w:tcPr>
            <w:tcW w:type="dxa" w:w="2160"/>
          </w:tcPr>
          <w:p>
            <w:r>
              <w:t>Pending</w:t>
            </w:r>
          </w:p>
        </w:tc>
      </w:tr>
    </w:tbl>
    <w:p>
      <w:r>
        <w:br/>
      </w:r>
    </w:p>
    <w:p>
      <w:pPr>
        <w:pStyle w:val="Heading1"/>
      </w:pPr>
      <w:r>
        <w:t>8. Review &amp; Sign-Off</w:t>
      </w:r>
    </w:p>
    <w:p>
      <w:pPr>
        <w:pStyle w:val="ListBullet"/>
      </w:pPr>
      <w:r>
        <w:rPr>
          <w:b/>
        </w:rPr>
        <w:t>Assessment Completed By:</w:t>
      </w:r>
    </w:p>
    <w:p>
      <w:r>
        <w:t xml:space="preserve">  [Redacted for privacy]</w:t>
      </w:r>
    </w:p>
    <w:p>
      <w:pPr>
        <w:pStyle w:val="ListBullet"/>
      </w:pPr>
      <w:r>
        <w:rPr>
          <w:b/>
        </w:rPr>
        <w:t>Date:</w:t>
      </w:r>
    </w:p>
    <w:p>
      <w:r>
        <w:t xml:space="preserve">  2024-06-25</w:t>
      </w:r>
    </w:p>
    <w:p>
      <w:pPr>
        <w:pStyle w:val="ListBullet"/>
      </w:pPr>
      <w:r>
        <w:rPr>
          <w:b/>
        </w:rPr>
        <w:t>Reviewed By (Legal/Privacy Officer):</w:t>
      </w:r>
    </w:p>
    <w:p>
      <w:r>
        <w:t xml:space="preserve">  [Redacted for privacy]</w:t>
      </w:r>
    </w:p>
    <w:p>
      <w:pPr>
        <w:pStyle w:val="ListBullet"/>
      </w:pPr>
      <w:r>
        <w:rPr>
          <w:b/>
        </w:rPr>
        <w:t>Date:</w:t>
      </w:r>
    </w:p>
    <w:p>
      <w:r>
        <w:t xml:space="preserve">  2024-06-25</w:t>
      </w:r>
    </w:p>
    <w:p>
      <w:pPr>
        <w:pStyle w:val="ListBullet"/>
      </w:pPr>
      <w:r>
        <w:rPr>
          <w:b/>
        </w:rPr>
        <w:t>Executive Approval (if required):</w:t>
      </w:r>
    </w:p>
    <w:p>
      <w:r>
        <w:t xml:space="preserve">  [Pending]</w:t>
      </w:r>
    </w:p>
    <w:p>
      <w:pPr>
        <w:pStyle w:val="ListBullet"/>
      </w:pPr>
      <w:r>
        <w:rPr>
          <w:b/>
        </w:rPr>
        <w:t>Date:</w:t>
      </w:r>
    </w:p>
    <w:p>
      <w:r>
        <w:t xml:space="preserve">  [Pending]</w:t>
      </w:r>
    </w:p>
    <w:p>
      <w:r>
        <w:br/>
      </w:r>
    </w:p>
    <w:p>
      <w:pPr>
        <w:pStyle w:val="Heading1"/>
      </w:pPr>
      <w:r>
        <w:t>9. Supporting Documentation</w:t>
      </w:r>
    </w:p>
    <w:p>
      <w:pPr>
        <w:pStyle w:val="ListBullet"/>
      </w:pPr>
      <w:r>
        <w:t>CybersecAI.IO platform risk assessment reports (see attached)</w:t>
      </w:r>
    </w:p>
    <w:p>
      <w:pPr>
        <w:pStyle w:val="ListBullet"/>
      </w:pPr>
      <w:r>
        <w:t>File access and audit logs</w:t>
      </w:r>
    </w:p>
    <w:p>
      <w:pPr>
        <w:pStyle w:val="ListBullet"/>
      </w:pPr>
      <w:r>
        <w:t>Containment and remediation logs</w:t>
      </w:r>
    </w:p>
    <w:p>
      <w:pPr>
        <w:pStyle w:val="ListBullet"/>
      </w:pPr>
      <w:r>
        <w:t>Draft notification letters</w:t>
      </w:r>
    </w:p>
    <w:p>
      <w:pPr>
        <w:pStyle w:val="ListBullet"/>
      </w:pPr>
      <w:r>
        <w:t>Correspondence with IT and Privacy teams</w:t>
      </w:r>
    </w:p>
    <w:p>
      <w:r>
        <w:br/>
      </w:r>
    </w:p>
    <w:p>
      <w:pPr>
        <w:pStyle w:val="Heading2"/>
      </w:pPr>
      <w:r>
        <w:t>References</w:t>
      </w:r>
    </w:p>
    <w:p>
      <w:pPr>
        <w:pStyle w:val="ListBullet"/>
      </w:pPr>
      <w:r>
        <w:t>[OAIC Data Breach Preparation and Response Guide](https://www.oaic.gov.au/privacy/guidance-and-advice/data-breach-preparation-and-response)</w:t>
      </w:r>
    </w:p>
    <w:p>
      <w:pPr>
        <w:pStyle w:val="ListBullet"/>
      </w:pPr>
      <w:r>
        <w:t>[Privacy Act 1988 (Cth), Part IIIC – Notifiable Data Breaches](https://www.legislation.gov.au/Details/C2023C00311)</w:t>
      </w:r>
    </w:p>
    <w:p>
      <w:pPr>
        <w:pStyle w:val="ListBullet"/>
      </w:pPr>
      <w:r>
        <w:t>[OAIC Notifiable Data Breaches Scheme](https://www.oaic.gov.au/privacy/notifiable-data-breaches)</w:t>
      </w:r>
    </w:p>
    <w:p>
      <w:r>
        <w:br/>
      </w:r>
    </w:p>
    <w:p>
      <w:r>
        <w:t xml:space="preserve">**Note:**  </w:t>
      </w:r>
    </w:p>
    <w:p>
      <w:r>
        <w:t>This assessment is based on expert review and data provided by the CybersecAI.IO platform, which identified the presence of multiple regulated and highly sensitive data fields across several files, triggering a high-risk rating under Australian Privacy Act, UK GDPR, PCI DSS, and CCPA/CPRA. All actions and notifications are being undertaken in accordance with legal obligations and best practice.</w:t>
      </w:r>
    </w:p>
    <w:p>
      <w:r>
        <w:br/>
      </w:r>
    </w:p>
    <w:p>
      <w:r>
        <w:t>```</w:t>
      </w:r>
    </w:p>
    <w:p>
      <w:r>
        <w:t>*Source of data: CybersecAI.IO platform automated risk analysis and detection reports (see supporting documentation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