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Oxford University Data Breach Notification Procedure</w:t>
      </w:r>
    </w:p>
    <w:p>
      <w:r>
        <w:t xml:space="preserve">**Purpose:**  </w:t>
      </w:r>
    </w:p>
    <w:p>
      <w:r>
        <w:t>To establish a clear, compliant process for notifying the Information Commissioner's Office (ICO) and affected individuals in the event of a personal data breach, in accordance with UK GDPR Articles 33 and 34.</w:t>
      </w:r>
    </w:p>
    <w:p>
      <w:r>
        <w:br/>
      </w:r>
    </w:p>
    <w:p>
      <w:pPr>
        <w:pStyle w:val="Heading1"/>
      </w:pPr>
      <w:r>
        <w:t>1. Scope and Applicability</w:t>
      </w:r>
    </w:p>
    <w:p>
      <w:r>
        <w:t>This procedure applies to all staff, students, contractors, and third parties processing personal data on behalf of Oxford University.</w:t>
      </w:r>
    </w:p>
    <w:p>
      <w:r>
        <w:br/>
      </w:r>
    </w:p>
    <w:p>
      <w:pPr>
        <w:pStyle w:val="Heading1"/>
      </w:pPr>
      <w:r>
        <w:t>2. Definitions</w:t>
      </w:r>
    </w:p>
    <w:p>
      <w:pPr>
        <w:pStyle w:val="ListBullet"/>
      </w:pPr>
      <w:r>
        <w:rPr>
          <w:b/>
        </w:rPr>
        <w:t>Personal Data Breach:</w:t>
      </w:r>
    </w:p>
    <w:p>
      <w:r>
        <w:t xml:space="preserve">  A breach of security leading to the accidental or unlawful destruction, loss, alteration, unauthorised disclosure of, or access to, personal data (UK GDPR, Article 4(12)).</w:t>
      </w:r>
    </w:p>
    <w:p>
      <w:pPr>
        <w:pStyle w:val="ListBullet"/>
      </w:pPr>
      <w:r>
        <w:rPr>
          <w:b/>
        </w:rPr>
        <w:t>Data Controller:</w:t>
      </w:r>
    </w:p>
    <w:p>
      <w:r>
        <w:t xml:space="preserve">  Oxford University, as the entity determining the purposes and means of processing personal data.</w:t>
      </w:r>
    </w:p>
    <w:p>
      <w:r>
        <w:br/>
      </w:r>
    </w:p>
    <w:p>
      <w:pPr>
        <w:pStyle w:val="Heading1"/>
      </w:pPr>
      <w:r>
        <w:t>3. Responsibilities</w:t>
      </w:r>
    </w:p>
    <w:p>
      <w:pPr>
        <w:pStyle w:val="ListBullet"/>
      </w:pPr>
      <w:r>
        <w:rPr>
          <w:b/>
        </w:rPr>
        <w:t>Data Protection Officer (DPO):</w:t>
      </w:r>
    </w:p>
    <w:p>
      <w:pPr>
        <w:pStyle w:val="ListBullet2"/>
      </w:pPr>
      <w:r>
        <w:t>Oversees breach assessment, notification, and record-keeping.</w:t>
      </w:r>
    </w:p>
    <w:p>
      <w:pPr>
        <w:pStyle w:val="ListBullet2"/>
      </w:pPr>
      <w:r>
        <w:t>Main point of contact with the ICO.</w:t>
      </w:r>
    </w:p>
    <w:p>
      <w:pPr>
        <w:pStyle w:val="ListBullet"/>
      </w:pPr>
      <w:r>
        <w:rPr>
          <w:b/>
        </w:rPr>
        <w:t>Information Security Team:</w:t>
      </w:r>
    </w:p>
    <w:p>
      <w:pPr>
        <w:pStyle w:val="ListBullet2"/>
      </w:pPr>
      <w:r>
        <w:t>Investigates breaches and supports risk assessment.</w:t>
      </w:r>
    </w:p>
    <w:p>
      <w:pPr>
        <w:pStyle w:val="ListBullet"/>
      </w:pPr>
      <w:r>
        <w:rPr>
          <w:b/>
        </w:rPr>
        <w:t>All Staff:</w:t>
      </w:r>
    </w:p>
    <w:p>
      <w:pPr>
        <w:pStyle w:val="ListBullet2"/>
      </w:pPr>
      <w:r>
        <w:t>Must report suspected or confirmed breaches immediately to the DPO via [designated reporting channel/email].</w:t>
      </w:r>
    </w:p>
    <w:p>
      <w:r>
        <w:br/>
      </w:r>
    </w:p>
    <w:p>
      <w:pPr>
        <w:pStyle w:val="Heading1"/>
      </w:pPr>
      <w:r>
        <w:t>4. Breach Identification and Initial Assessment</w:t>
      </w:r>
    </w:p>
    <w:p>
      <w:pPr>
        <w:pStyle w:val="ListNumber"/>
      </w:pPr>
      <w:r>
        <w:t>**Immediate Reporting:**</w:t>
      </w:r>
    </w:p>
    <w:p>
      <w:r>
        <w:t xml:space="preserve">   Any suspected or confirmed personal data breach must be reported to the DPO without undue delay and, where feasible, within 2 hours of discovery.</w:t>
      </w:r>
    </w:p>
    <w:p>
      <w:pPr>
        <w:pStyle w:val="ListNumber"/>
      </w:pPr>
      <w:r>
        <w:t>**Initial Assessment:**</w:t>
      </w:r>
    </w:p>
    <w:p>
      <w:r>
        <w:t xml:space="preserve">   The DPO, with support from the Information Security Team, will:</w:t>
      </w:r>
    </w:p>
    <w:p>
      <w:pPr>
        <w:pStyle w:val="ListBullet"/>
      </w:pPr>
      <w:r>
        <w:t>Confirm the breach.</w:t>
      </w:r>
    </w:p>
    <w:p>
      <w:pPr>
        <w:pStyle w:val="ListBullet"/>
      </w:pPr>
      <w:r>
        <w:t>Assess the nature, scope, and potential impact.</w:t>
      </w:r>
    </w:p>
    <w:p>
      <w:pPr>
        <w:pStyle w:val="ListBullet"/>
      </w:pPr>
      <w:r>
        <w:t>Determine whether the breach is likely to result in a risk to the rights and freedoms of individuals.</w:t>
      </w:r>
    </w:p>
    <w:p>
      <w:r>
        <w:t xml:space="preserve">**Expert Note:**  </w:t>
      </w:r>
    </w:p>
    <w:p>
      <w:r>
        <w:t>Recent risk analyses from the cybersecai.io platform indicate that breaches involving the following data fields are considered high risk under multiple regulatory frameworks (UK GDPR, Australian Privacy Act, PCI DSS):</w:t>
      </w:r>
    </w:p>
    <w:p>
      <w:pPr>
        <w:pStyle w:val="ListBullet"/>
      </w:pPr>
      <w:r>
        <w:t>Full Name</w:t>
      </w:r>
    </w:p>
    <w:p>
      <w:pPr>
        <w:pStyle w:val="ListBullet"/>
      </w:pPr>
      <w:r>
        <w:t>Date of Birth</w:t>
      </w:r>
    </w:p>
    <w:p>
      <w:pPr>
        <w:pStyle w:val="ListBullet"/>
      </w:pPr>
      <w:r>
        <w:t>Address</w:t>
      </w:r>
    </w:p>
    <w:p>
      <w:pPr>
        <w:pStyle w:val="ListBullet"/>
      </w:pPr>
      <w:r>
        <w:t>Email Address</w:t>
      </w:r>
    </w:p>
    <w:p>
      <w:pPr>
        <w:pStyle w:val="ListBullet"/>
      </w:pPr>
      <w:r>
        <w:t>Phone Number</w:t>
      </w:r>
    </w:p>
    <w:p>
      <w:pPr>
        <w:pStyle w:val="ListBullet"/>
      </w:pPr>
      <w:r>
        <w:t>Financial Account Details (including Credit Card Number, Account Number, PAN)</w:t>
      </w:r>
    </w:p>
    <w:p>
      <w:pPr>
        <w:pStyle w:val="ListBullet"/>
      </w:pPr>
      <w:r>
        <w:t>Login Credentials</w:t>
      </w:r>
    </w:p>
    <w:p>
      <w:pPr>
        <w:pStyle w:val="ListBullet"/>
      </w:pPr>
      <w:r>
        <w:t>Tax Identifiers (Tax File Number, Tax ID)</w:t>
      </w:r>
    </w:p>
    <w:p>
      <w:pPr>
        <w:pStyle w:val="ListBullet"/>
      </w:pPr>
      <w:r>
        <w:t>Driver’s License Number</w:t>
      </w:r>
    </w:p>
    <w:p>
      <w:pPr>
        <w:pStyle w:val="ListBullet"/>
      </w:pPr>
      <w:r>
        <w:t>Medicare Number</w:t>
      </w:r>
    </w:p>
    <w:p>
      <w:pPr>
        <w:pStyle w:val="ListBullet"/>
      </w:pPr>
      <w:r>
        <w:t>Social Security Number (SSN)</w:t>
      </w:r>
    </w:p>
    <w:p>
      <w:pPr>
        <w:pStyle w:val="ListBullet"/>
      </w:pPr>
      <w:r>
        <w:t>Payment Receipts and Transaction Amounts</w:t>
      </w:r>
    </w:p>
    <w:p>
      <w:r>
        <w:t>The presence of these fields, particularly in combination, substantially elevates the risk profile and may trigger mandatory notification requirements.</w:t>
      </w:r>
    </w:p>
    <w:p>
      <w:r>
        <w:br/>
      </w:r>
    </w:p>
    <w:p>
      <w:pPr>
        <w:pStyle w:val="Heading1"/>
      </w:pPr>
      <w:r>
        <w:t>5. Notification to the ICO (UK GDPR Article 33)</w:t>
      </w:r>
    </w:p>
    <w:p>
      <w:pPr>
        <w:pStyle w:val="ListNumber"/>
      </w:pPr>
      <w:r>
        <w:t>**Notification Timeline:**</w:t>
      </w:r>
    </w:p>
    <w:p>
      <w:pPr>
        <w:pStyle w:val="ListBullet"/>
      </w:pPr>
      <w:r>
        <w:t>The DPO must notify the ICO without undue delay and, where feasible, not later than 72 hours after becoming aware of the breach.</w:t>
      </w:r>
    </w:p>
    <w:p>
      <w:pPr>
        <w:pStyle w:val="ListBullet"/>
      </w:pPr>
      <w:r>
        <w:t>If notification is not made within 72 hours, reasons for the delay must be documented and provided to the ICO.</w:t>
      </w:r>
    </w:p>
    <w:p>
      <w:pPr>
        <w:pStyle w:val="ListNumber"/>
      </w:pPr>
      <w:r>
        <w:t>**Required Information:**</w:t>
      </w:r>
    </w:p>
    <w:p>
      <w:r>
        <w:t xml:space="preserve">   The notification to the ICO must include:</w:t>
      </w:r>
    </w:p>
    <w:p>
      <w:pPr>
        <w:pStyle w:val="ListBullet"/>
      </w:pPr>
      <w:r>
        <w:t>Description of the nature of the personal data breach, including (where possible) categories and approximate number of data subjects and personal data records concerned.</w:t>
      </w:r>
    </w:p>
    <w:p>
      <w:pPr>
        <w:pStyle w:val="ListBullet"/>
      </w:pPr>
      <w:r>
        <w:t>Name and contact details of the DPO or other contact point.</w:t>
      </w:r>
    </w:p>
    <w:p>
      <w:pPr>
        <w:pStyle w:val="ListBullet"/>
      </w:pPr>
      <w:r>
        <w:t>Likely consequences of the personal data breach.</w:t>
      </w:r>
    </w:p>
    <w:p>
      <w:pPr>
        <w:pStyle w:val="ListBullet"/>
      </w:pPr>
      <w:r>
        <w:t>Measures taken or proposed to address the breach and mitigate its possible adverse effects.</w:t>
      </w:r>
    </w:p>
    <w:p>
      <w:pPr>
        <w:pStyle w:val="ListNumber"/>
      </w:pPr>
      <w:r>
        <w:t>**Supplementary Information:**</w:t>
      </w:r>
    </w:p>
    <w:p>
      <w:r>
        <w:t xml:space="preserve">   If all information cannot be provided at once, it must be supplied in phases without undue further delay.</w:t>
      </w:r>
    </w:p>
    <w:p>
      <w:r>
        <w:t xml:space="preserve">**Expert Note:**  </w:t>
      </w:r>
    </w:p>
    <w:p>
      <w:r>
        <w:t>According to cybersecai.io, files containing multiple regulated data types (e.g., full names, dates of birth, physical addresses, email addresses, phone numbers, financial account details, payment card data, and tax identifiers) are classified as "high risk" and should be prioritized for notification and remediation. The platform recommends immediate quarantine and notification to the data owner for such incidents.</w:t>
      </w:r>
    </w:p>
    <w:p>
      <w:r>
        <w:br/>
      </w:r>
    </w:p>
    <w:p>
      <w:pPr>
        <w:pStyle w:val="Heading1"/>
      </w:pPr>
      <w:r>
        <w:t>6. Notification to Affected Individuals (UK GDPR Article 34)</w:t>
      </w:r>
    </w:p>
    <w:p>
      <w:pPr>
        <w:pStyle w:val="ListNumber"/>
      </w:pPr>
      <w:r>
        <w:t>**Notification Requirement:**</w:t>
      </w:r>
    </w:p>
    <w:p>
      <w:pPr>
        <w:pStyle w:val="ListBullet"/>
      </w:pPr>
      <w:r>
        <w:t>If the breach is likely to result in a high risk to the rights and freedoms of individuals, the DPO must notify affected individuals without undue delay.</w:t>
      </w:r>
    </w:p>
    <w:p>
      <w:pPr>
        <w:pStyle w:val="ListNumber"/>
      </w:pPr>
      <w:r>
        <w:t>**Content of Notification:**</w:t>
      </w:r>
    </w:p>
    <w:p>
      <w:r>
        <w:t xml:space="preserve">   The notification must be in clear and plain language and include:</w:t>
      </w:r>
    </w:p>
    <w:p>
      <w:pPr>
        <w:pStyle w:val="ListBullet"/>
      </w:pPr>
      <w:r>
        <w:t>The nature of the breach.</w:t>
      </w:r>
    </w:p>
    <w:p>
      <w:pPr>
        <w:pStyle w:val="ListBullet"/>
      </w:pPr>
      <w:r>
        <w:t>Name and contact details of the DPO or other contact point.</w:t>
      </w:r>
    </w:p>
    <w:p>
      <w:pPr>
        <w:pStyle w:val="ListBullet"/>
      </w:pPr>
      <w:r>
        <w:t>Likely consequences of the breach.</w:t>
      </w:r>
    </w:p>
    <w:p>
      <w:pPr>
        <w:pStyle w:val="ListBullet"/>
      </w:pPr>
      <w:r>
        <w:t>Measures taken or proposed to address the breach and mitigate its possible adverse effects.</w:t>
      </w:r>
    </w:p>
    <w:p>
      <w:pPr>
        <w:pStyle w:val="ListNumber"/>
      </w:pPr>
      <w:r>
        <w:t>**Communication Channels:**</w:t>
      </w:r>
    </w:p>
    <w:p>
      <w:pPr>
        <w:pStyle w:val="ListBullet"/>
      </w:pPr>
      <w:r>
        <w:t>Direct communication (e.g., email, letter) is preferred.</w:t>
      </w:r>
    </w:p>
    <w:p>
      <w:pPr>
        <w:pStyle w:val="ListBullet"/>
      </w:pPr>
      <w:r>
        <w:t>Public communication may be used if direct contact is not feasible or would involve disproportionate effort.</w:t>
      </w:r>
    </w:p>
    <w:p>
      <w:pPr>
        <w:pStyle w:val="ListNumber"/>
      </w:pPr>
      <w:r>
        <w:t>**Exceptions:**</w:t>
      </w:r>
    </w:p>
    <w:p>
      <w:r>
        <w:t xml:space="preserve">   Notification to individuals is not required if:</w:t>
      </w:r>
    </w:p>
    <w:p>
      <w:pPr>
        <w:pStyle w:val="ListBullet"/>
      </w:pPr>
      <w:r>
        <w:t>Appropriate technical and organisational protection measures (e.g., encryption) were applied to the data.</w:t>
      </w:r>
    </w:p>
    <w:p>
      <w:pPr>
        <w:pStyle w:val="ListBullet"/>
      </w:pPr>
      <w:r>
        <w:t>Subsequent measures have ensured that the high risk is no longer likely to materialise.</w:t>
      </w:r>
    </w:p>
    <w:p>
      <w:pPr>
        <w:pStyle w:val="ListBullet"/>
      </w:pPr>
      <w:r>
        <w:t>It would involve disproportionate effort (in which case, public communication shall be used).</w:t>
      </w:r>
    </w:p>
    <w:p>
      <w:r>
        <w:t xml:space="preserve">**Expert Note:**  </w:t>
      </w:r>
    </w:p>
    <w:p>
      <w:r>
        <w:t>cybersecai.io findings highlight that breaches involving sensitive identifiers (e.g., credit card numbers, tax file numbers, Medicare numbers, SSNs) pose a significant risk of identity theft and privacy harm. Immediate notification to affected individuals is strongly advised in such cases, even if the minimum legal threshold is unclear.</w:t>
      </w:r>
    </w:p>
    <w:p>
      <w:r>
        <w:br/>
      </w:r>
    </w:p>
    <w:p>
      <w:pPr>
        <w:pStyle w:val="Heading1"/>
      </w:pPr>
      <w:r>
        <w:t>7. Record-Keeping (UK GDPR Article 33(5))</w:t>
      </w:r>
    </w:p>
    <w:p>
      <w:pPr>
        <w:pStyle w:val="ListBullet"/>
      </w:pPr>
      <w:r>
        <w:t>All personal data breaches, regardless of notification requirement, must be documented by the DPO, including:</w:t>
      </w:r>
    </w:p>
    <w:p>
      <w:pPr>
        <w:pStyle w:val="ListBullet"/>
      </w:pPr>
      <w:r>
        <w:t>Facts relating to the breach.</w:t>
      </w:r>
    </w:p>
    <w:p>
      <w:pPr>
        <w:pStyle w:val="ListBullet"/>
      </w:pPr>
      <w:r>
        <w:t>Its effects.</w:t>
      </w:r>
    </w:p>
    <w:p>
      <w:pPr>
        <w:pStyle w:val="ListBullet"/>
      </w:pPr>
      <w:r>
        <w:t>Remedial action taken.</w:t>
      </w:r>
    </w:p>
    <w:p>
      <w:pPr>
        <w:pStyle w:val="ListBullet"/>
      </w:pPr>
      <w:r>
        <w:t>Records must be retained in accordance with the University’s Data Retention Policy and made available to the ICO upon request.</w:t>
      </w:r>
    </w:p>
    <w:p>
      <w:r>
        <w:t xml:space="preserve">**Expert Note:**  </w:t>
      </w:r>
    </w:p>
    <w:p>
      <w:r>
        <w:t>cybersecai.io recommends that all incidents involving high-risk data fields (as enumerated above) be logged with detailed metadata, including the specific data types involved, the risk rating, and any automated quarantine or containment actions taken.</w:t>
      </w:r>
    </w:p>
    <w:p>
      <w:r>
        <w:br/>
      </w:r>
    </w:p>
    <w:p>
      <w:pPr>
        <w:pStyle w:val="Heading1"/>
      </w:pPr>
      <w:r>
        <w:t>8. Review and Training</w:t>
      </w:r>
    </w:p>
    <w:p>
      <w:pPr>
        <w:pStyle w:val="ListBullet"/>
      </w:pPr>
      <w:r>
        <w:t>This procedure will be reviewed annually or following any significant breach or change in law.</w:t>
      </w:r>
    </w:p>
    <w:p>
      <w:pPr>
        <w:pStyle w:val="ListBullet"/>
      </w:pPr>
      <w:r>
        <w:t>All relevant staff must receive regular training on breach identification and reporting.</w:t>
      </w:r>
    </w:p>
    <w:p>
      <w:r>
        <w:t xml:space="preserve">**Expert Note:**  </w:t>
      </w:r>
    </w:p>
    <w:p>
      <w:r>
        <w:t>Given the evolving nature of data protection risks, staff should be trained to recognize regulated data fields and understand the high-risk scenarios flagged by platforms such as cybersecai.io.</w:t>
      </w:r>
    </w:p>
    <w:p>
      <w:r>
        <w:br/>
      </w:r>
    </w:p>
    <w:p>
      <w:pPr>
        <w:pStyle w:val="Heading1"/>
      </w:pPr>
      <w:r>
        <w:t>9. Regulatory References</w:t>
      </w:r>
    </w:p>
    <w:p>
      <w:pPr>
        <w:pStyle w:val="ListBullet"/>
      </w:pPr>
      <w:r>
        <w:t>UK GDPR Article 33: Notification of a personal data breach to the supervisory authority.</w:t>
      </w:r>
    </w:p>
    <w:p>
      <w:pPr>
        <w:pStyle w:val="ListBullet"/>
      </w:pPr>
      <w:r>
        <w:t>UK GDPR Article 34: Communication of a personal data breach to the data subject.</w:t>
      </w:r>
    </w:p>
    <w:p>
      <w:pPr>
        <w:pStyle w:val="ListBullet"/>
      </w:pPr>
      <w:r>
        <w:t>Data Protection Act 2018.</w:t>
      </w:r>
    </w:p>
    <w:p>
      <w:pPr>
        <w:pStyle w:val="ListBullet"/>
      </w:pPr>
      <w:r>
        <w:t>Australian Privacy Act (where applicable).</w:t>
      </w:r>
    </w:p>
    <w:p>
      <w:pPr>
        <w:pStyle w:val="ListBullet"/>
      </w:pPr>
      <w:r>
        <w:t>PCI DSS (where payment card data is involved).</w:t>
      </w:r>
    </w:p>
    <w:p>
      <w:r>
        <w:br/>
      </w:r>
    </w:p>
    <w:p>
      <w:r>
        <w:t xml:space="preserve">**Approved by:** Data Protection Officer  </w:t>
      </w:r>
    </w:p>
    <w:p>
      <w:r>
        <w:t xml:space="preserve">**Effective Date:** [Insert Date]  </w:t>
      </w:r>
    </w:p>
    <w:p>
      <w:r>
        <w:t xml:space="preserve">**Review Date:** [Insert Date]  </w:t>
      </w:r>
    </w:p>
    <w:p>
      <w:r>
        <w:br/>
      </w:r>
    </w:p>
    <w:p>
      <w:pPr>
        <w:jc w:val="left"/>
      </w:pPr>
      <w:r>
        <w:rPr>
          <w:i/>
        </w:rPr>
        <w:t>**Data Risk Assessment Source:**</w:t>
      </w:r>
    </w:p>
    <w:p>
      <w:pPr>
        <w:jc w:val="left"/>
      </w:pPr>
      <w:r>
        <w:rPr>
          <w:i/>
        </w:rPr>
        <w:t>This procedure incorporates risk and data field analysis provided by the cybersecai.io platform. For further details on data field risk ratings and recommended actions, consult the cybersecai.io compliance dashboard.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