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Oxford University Data Breach Response Plan</w:t>
      </w:r>
    </w:p>
    <w:p>
      <w:r>
        <w:t xml:space="preserve">**Purpose:**  </w:t>
      </w:r>
    </w:p>
    <w:p>
      <w:r>
        <w:t>To outline mandatory procedures for detecting, reporting, assessing, and responding to personal data breaches in compliance with UK GDPR Article 33 and the Data Protection Act 2018 (DPA 2018), and to address the handling of highly sensitive and regulated data as identified by the cybersecai.io platform.</w:t>
      </w:r>
    </w:p>
    <w:p>
      <w:r>
        <w:t xml:space="preserve">**Scope:**  </w:t>
      </w:r>
    </w:p>
    <w:p>
      <w:r>
        <w:t>This plan applies to all staff, contractors, and affiliates processing personal data on behalf of Oxford University, including data regulated under UK GDPR, the Australian Privacy Act, PCI DSS, and CCPA/CPRA.</w:t>
      </w:r>
    </w:p>
    <w:p>
      <w:r>
        <w:br/>
      </w:r>
    </w:p>
    <w:p>
      <w:pPr>
        <w:pStyle w:val="Heading1"/>
      </w:pPr>
      <w:r>
        <w:t>1. Definitions</w:t>
      </w:r>
    </w:p>
    <w:p>
      <w:pPr>
        <w:pStyle w:val="ListBullet"/>
      </w:pPr>
      <w:r>
        <w:t>**Personal Data Breach:** A breach of security leading to the accidental or unlawful destruction, loss, alteration, unauthorised disclosure of, or access to, personal data (UK GDPR, Art. 4(12)).</w:t>
      </w:r>
    </w:p>
    <w:p>
      <w:pPr>
        <w:pStyle w:val="ListBullet"/>
      </w:pPr>
      <w:r>
        <w:t>**Data Subject:** An identified or identifiable natural person whose personal data is processed.</w:t>
      </w:r>
    </w:p>
    <w:p>
      <w:pPr>
        <w:pStyle w:val="ListBullet"/>
      </w:pPr>
      <w:r>
        <w:t>**Supervisory Authority:** The Information Commissioner’s Office (ICO).</w:t>
      </w:r>
    </w:p>
    <w:p>
      <w:pPr>
        <w:pStyle w:val="ListBullet"/>
      </w:pPr>
      <w:r>
        <w:t>**Highly Sensitive Data:** Data fields including, but not limited to, full names, dates of birth, physical addresses, email addresses, phone numbers, financial account details, credit card numbers, tax file numbers, Medicare numbers, Social Security Numbers, and login credentials, as identified by the cybersecai.io platform.</w:t>
      </w:r>
    </w:p>
    <w:p>
      <w:r>
        <w:br/>
      </w:r>
    </w:p>
    <w:p>
      <w:pPr>
        <w:pStyle w:val="Heading1"/>
      </w:pPr>
      <w:r>
        <w:t>2. Roles and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Data Protection Officer (DPO)</w:t>
            </w:r>
          </w:p>
        </w:tc>
        <w:tc>
          <w:tcPr>
            <w:tcW w:type="dxa" w:w="4320"/>
          </w:tcPr>
          <w:p>
            <w:r>
              <w:t>Overall coordination, regulatory notification, advice, and record-keeping.</w:t>
            </w:r>
          </w:p>
        </w:tc>
      </w:tr>
      <w:tr>
        <w:tc>
          <w:tcPr>
            <w:tcW w:type="dxa" w:w="4320"/>
          </w:tcPr>
          <w:p>
            <w:r>
              <w:t>IT Security Team</w:t>
            </w:r>
          </w:p>
        </w:tc>
        <w:tc>
          <w:tcPr>
            <w:tcW w:type="dxa" w:w="4320"/>
          </w:tcPr>
          <w:p>
            <w:r>
              <w:t>Detection, containment, technical investigation, and remediation.</w:t>
            </w:r>
          </w:p>
        </w:tc>
      </w:tr>
      <w:tr>
        <w:tc>
          <w:tcPr>
            <w:tcW w:type="dxa" w:w="4320"/>
          </w:tcPr>
          <w:p>
            <w:r>
              <w:t>Information Asset Owners</w:t>
            </w:r>
          </w:p>
        </w:tc>
        <w:tc>
          <w:tcPr>
            <w:tcW w:type="dxa" w:w="4320"/>
          </w:tcPr>
          <w:p>
            <w:r>
              <w:t>Initial breach reporting, support investigation, and risk assessment.</w:t>
            </w:r>
          </w:p>
        </w:tc>
      </w:tr>
      <w:tr>
        <w:tc>
          <w:tcPr>
            <w:tcW w:type="dxa" w:w="4320"/>
          </w:tcPr>
          <w:p>
            <w:r>
              <w:t>Communications Team</w:t>
            </w:r>
          </w:p>
        </w:tc>
        <w:tc>
          <w:tcPr>
            <w:tcW w:type="dxa" w:w="4320"/>
          </w:tcPr>
          <w:p>
            <w:r>
              <w:t>Internal and external communications, including with data subjects and media.</w:t>
            </w:r>
          </w:p>
        </w:tc>
      </w:tr>
      <w:tr>
        <w:tc>
          <w:tcPr>
            <w:tcW w:type="dxa" w:w="4320"/>
          </w:tcPr>
          <w:p>
            <w:r>
              <w:t>Legal Services</w:t>
            </w:r>
          </w:p>
        </w:tc>
        <w:tc>
          <w:tcPr>
            <w:tcW w:type="dxa" w:w="4320"/>
          </w:tcPr>
          <w:p>
            <w:r>
              <w:t>Legal risk assessment, regulatory liaison, and documentation.</w:t>
            </w:r>
          </w:p>
        </w:tc>
      </w:tr>
    </w:tbl>
    <w:p>
      <w:r>
        <w:br/>
      </w:r>
    </w:p>
    <w:p>
      <w:pPr>
        <w:pStyle w:val="Heading1"/>
      </w:pPr>
      <w:r>
        <w:t>3. Breach Detection and Reporting</w:t>
      </w:r>
    </w:p>
    <w:p>
      <w:pPr>
        <w:pStyle w:val="Heading2"/>
      </w:pPr>
      <w:r>
        <w:t>3.1 Detection</w:t>
      </w:r>
    </w:p>
    <w:p>
      <w:pPr>
        <w:pStyle w:val="ListBullet"/>
      </w:pPr>
      <w:r>
        <w:t>All staff must be vigilant for signs of a data breach (e.g., suspicious system activity, lost devices, unauthorised disclosures).</w:t>
      </w:r>
    </w:p>
    <w:p>
      <w:pPr>
        <w:pStyle w:val="ListBullet"/>
      </w:pPr>
      <w:r>
        <w:t>IT Security Team to monitor systems for indicators of compromise.</w:t>
      </w:r>
    </w:p>
    <w:p>
      <w:pPr>
        <w:pStyle w:val="ListBullet"/>
      </w:pPr>
      <w:r>
        <w:t>Special attention must be paid to systems or files containing highly sensitive data fields as identified by the cybersecai.io platform, including but not limited to:</w:t>
      </w:r>
    </w:p>
    <w:p>
      <w:pPr>
        <w:pStyle w:val="ListBullet"/>
      </w:pPr>
      <w:r>
        <w:t>Full Name</w:t>
      </w:r>
    </w:p>
    <w:p>
      <w:pPr>
        <w:pStyle w:val="ListBullet"/>
      </w:pPr>
      <w:r>
        <w:t>Date of Birth</w:t>
      </w:r>
    </w:p>
    <w:p>
      <w:pPr>
        <w:pStyle w:val="ListBullet"/>
      </w:pPr>
      <w:r>
        <w:t>Address</w:t>
      </w:r>
    </w:p>
    <w:p>
      <w:pPr>
        <w:pStyle w:val="ListBullet"/>
      </w:pPr>
      <w:r>
        <w:t>Email Address</w:t>
      </w:r>
    </w:p>
    <w:p>
      <w:pPr>
        <w:pStyle w:val="ListBullet"/>
      </w:pPr>
      <w:r>
        <w:t>Phone Number</w:t>
      </w:r>
    </w:p>
    <w:p>
      <w:pPr>
        <w:pStyle w:val="ListBullet"/>
      </w:pPr>
      <w:r>
        <w:t>Financial Account and Credit Card Details</w:t>
      </w:r>
    </w:p>
    <w:p>
      <w:pPr>
        <w:pStyle w:val="ListBullet"/>
      </w:pPr>
      <w:r>
        <w:t>Tax File Number (TFN), Medicare Number, Social Security Number (SSN)</w:t>
      </w:r>
    </w:p>
    <w:p>
      <w:pPr>
        <w:pStyle w:val="ListBullet"/>
      </w:pPr>
      <w:r>
        <w:t>Login Credentials</w:t>
      </w:r>
    </w:p>
    <w:p>
      <w:pPr>
        <w:pStyle w:val="Heading2"/>
      </w:pPr>
      <w:r>
        <w:t>3.2 Internal Reporting</w:t>
      </w:r>
    </w:p>
    <w:p>
      <w:pPr>
        <w:pStyle w:val="ListBullet"/>
      </w:pPr>
      <w:r>
        <w:t>Any suspected or confirmed breach must be reported **immediately** to the DPO at [DPO contact details] and IT Security Team via [internal reporting mechanism].</w:t>
      </w:r>
    </w:p>
    <w:p>
      <w:pPr>
        <w:pStyle w:val="ListBullet"/>
      </w:pPr>
      <w:r>
        <w:t>Initial report must include:</w:t>
      </w:r>
    </w:p>
    <w:p>
      <w:pPr>
        <w:pStyle w:val="ListBullet"/>
      </w:pPr>
      <w:r>
        <w:t>Date/time of discovery</w:t>
      </w:r>
    </w:p>
    <w:p>
      <w:pPr>
        <w:pStyle w:val="ListBullet"/>
      </w:pPr>
      <w:r>
        <w:t>Nature and scope of breach</w:t>
      </w:r>
    </w:p>
    <w:p>
      <w:pPr>
        <w:pStyle w:val="ListBullet"/>
      </w:pPr>
      <w:r>
        <w:t>Systems/data involved (explicitly noting if regulated data fields per cybersecai.io have been exposed)</w:t>
      </w:r>
    </w:p>
    <w:p>
      <w:pPr>
        <w:pStyle w:val="ListBullet"/>
      </w:pPr>
      <w:r>
        <w:t>Actions taken so far</w:t>
      </w:r>
    </w:p>
    <w:p>
      <w:r>
        <w:br/>
      </w:r>
    </w:p>
    <w:p>
      <w:pPr>
        <w:pStyle w:val="Heading1"/>
      </w:pPr>
      <w:r>
        <w:t>4. Breach Assessment and Classification</w:t>
      </w:r>
    </w:p>
    <w:p>
      <w:pPr>
        <w:pStyle w:val="ListBullet"/>
      </w:pPr>
      <w:r>
        <w:t>DPO, with IT Security and Information Asset Owner, to assess:</w:t>
      </w:r>
    </w:p>
    <w:p>
      <w:pPr>
        <w:pStyle w:val="ListBullet"/>
      </w:pPr>
      <w:r>
        <w:t>Nature and sensitivity of data involved, referencing cybersecai.io risk ratings and detected fields.</w:t>
      </w:r>
    </w:p>
    <w:p>
      <w:pPr>
        <w:pStyle w:val="ListBullet"/>
      </w:pPr>
      <w:r>
        <w:t>Number of data subjects affected</w:t>
      </w:r>
    </w:p>
    <w:p>
      <w:pPr>
        <w:pStyle w:val="ListBullet"/>
      </w:pPr>
      <w:r>
        <w:t>Likelihood and severity of risk to rights and freedoms of data subjects</w:t>
      </w:r>
    </w:p>
    <w:p>
      <w:pPr>
        <w:pStyle w:val="ListBullet"/>
      </w:pPr>
      <w:r>
        <w:t>Classification:</w:t>
      </w:r>
    </w:p>
    <w:p>
      <w:pPr>
        <w:pStyle w:val="ListBullet"/>
      </w:pPr>
      <w:r>
        <w:t>**Notifiable Breach:** Likely to result in risk to rights and freedoms (UK GDPR, Art. 33), especially where high-risk data fields (e.g., credit card numbers, TFN, SSN) are involved.</w:t>
      </w:r>
    </w:p>
    <w:p>
      <w:pPr>
        <w:pStyle w:val="ListBullet"/>
      </w:pPr>
      <w:r>
        <w:t>**Non-notifiable Breach:** Unlikely to result in such risk.</w:t>
      </w:r>
    </w:p>
    <w:p>
      <w:r>
        <w:br/>
      </w:r>
    </w:p>
    <w:p>
      <w:pPr>
        <w:pStyle w:val="Heading1"/>
      </w:pPr>
      <w:r>
        <w:t>5. Containment and Recovery</w:t>
      </w:r>
    </w:p>
    <w:p>
      <w:pPr>
        <w:pStyle w:val="ListBullet"/>
      </w:pPr>
      <w:r>
        <w:t>IT Security Team to:</w:t>
      </w:r>
    </w:p>
    <w:p>
      <w:pPr>
        <w:pStyle w:val="ListBullet"/>
      </w:pPr>
      <w:r>
        <w:t>Contain the breach (e.g., isolate affected systems, revoke access).</w:t>
      </w:r>
    </w:p>
    <w:p>
      <w:pPr>
        <w:pStyle w:val="ListBullet"/>
      </w:pPr>
      <w:r>
        <w:t>Secure evidence for investigation.</w:t>
      </w:r>
    </w:p>
    <w:p>
      <w:pPr>
        <w:pStyle w:val="ListBullet"/>
      </w:pPr>
      <w:r>
        <w:t>Initiate recovery actions to restore data integrity and service continuity.</w:t>
      </w:r>
    </w:p>
    <w:p>
      <w:pPr>
        <w:pStyle w:val="ListBullet"/>
      </w:pPr>
      <w:r>
        <w:t>Immediately quarantine files and systems as recommended by cybersecai.io when high-risk regulated fields are detected.</w:t>
      </w:r>
    </w:p>
    <w:p>
      <w:pPr>
        <w:pStyle w:val="ListBullet"/>
      </w:pPr>
      <w:r>
        <w:t>DPO to document all actions taken.</w:t>
      </w:r>
    </w:p>
    <w:p>
      <w:r>
        <w:br/>
      </w:r>
    </w:p>
    <w:p>
      <w:pPr>
        <w:pStyle w:val="Heading1"/>
      </w:pPr>
      <w:r>
        <w:t>6. Notification Obligations</w:t>
      </w:r>
    </w:p>
    <w:p>
      <w:pPr>
        <w:pStyle w:val="Heading2"/>
      </w:pPr>
      <w:r>
        <w:t>6.1 Notification to ICO</w:t>
      </w:r>
    </w:p>
    <w:p>
      <w:pPr>
        <w:pStyle w:val="ListBullet"/>
      </w:pPr>
      <w:r>
        <w:t>DPO must notify the ICO **without undue delay and, where feasible, within 72 hours** of becoming aware of a notifiable breach (UK GDPR, Art. 33(1)).</w:t>
      </w:r>
    </w:p>
    <w:p>
      <w:pPr>
        <w:pStyle w:val="ListBullet"/>
      </w:pPr>
      <w:r>
        <w:t>Notification must include:</w:t>
      </w:r>
    </w:p>
    <w:p>
      <w:pPr>
        <w:pStyle w:val="ListBullet"/>
      </w:pPr>
      <w:r>
        <w:t>Nature of breach (categories and approximate number of data subjects and records, with reference to regulated fields detected by cybersecai.io)</w:t>
      </w:r>
    </w:p>
    <w:p>
      <w:pPr>
        <w:pStyle w:val="ListBullet"/>
      </w:pPr>
      <w:r>
        <w:t>Likely consequences</w:t>
      </w:r>
    </w:p>
    <w:p>
      <w:pPr>
        <w:pStyle w:val="ListBullet"/>
      </w:pPr>
      <w:r>
        <w:t>Measures taken or proposed to address the breach</w:t>
      </w:r>
    </w:p>
    <w:p>
      <w:pPr>
        <w:pStyle w:val="ListBullet"/>
      </w:pPr>
      <w:r>
        <w:t>DPO contact details</w:t>
      </w:r>
    </w:p>
    <w:p>
      <w:pPr>
        <w:pStyle w:val="Heading2"/>
      </w:pPr>
      <w:r>
        <w:t>6.2 Notification to Data Subjects</w:t>
      </w:r>
    </w:p>
    <w:p>
      <w:pPr>
        <w:pStyle w:val="ListBullet"/>
      </w:pPr>
      <w:r>
        <w:t>If breach likely to result in high risk to rights and freedoms, DPO must notify affected data subjects **without undue delay** (UK GDPR, Art. 34).</w:t>
      </w:r>
    </w:p>
    <w:p>
      <w:pPr>
        <w:pStyle w:val="ListBullet"/>
      </w:pPr>
      <w:r>
        <w:t>Notification must be clear and in plain language, describing:</w:t>
      </w:r>
    </w:p>
    <w:p>
      <w:pPr>
        <w:pStyle w:val="ListBullet"/>
      </w:pPr>
      <w:r>
        <w:t>Nature of breach</w:t>
      </w:r>
    </w:p>
    <w:p>
      <w:pPr>
        <w:pStyle w:val="ListBullet"/>
      </w:pPr>
      <w:r>
        <w:t>Likely consequences, especially if highly sensitive data (e.g., credit card, TFN, SSN) was involved</w:t>
      </w:r>
    </w:p>
    <w:p>
      <w:pPr>
        <w:pStyle w:val="ListBullet"/>
      </w:pPr>
      <w:r>
        <w:t>Measures taken</w:t>
      </w:r>
    </w:p>
    <w:p>
      <w:pPr>
        <w:pStyle w:val="ListBullet"/>
      </w:pPr>
      <w:r>
        <w:t>Contact details for further information</w:t>
      </w:r>
    </w:p>
    <w:p>
      <w:pPr>
        <w:pStyle w:val="Heading2"/>
      </w:pPr>
      <w:r>
        <w:t>6.3 Internal and External Communications</w:t>
      </w:r>
    </w:p>
    <w:p>
      <w:pPr>
        <w:pStyle w:val="ListBullet"/>
      </w:pPr>
      <w:r>
        <w:t>Communications Team to coordinate all messaging, ensuring accuracy and consistency.</w:t>
      </w:r>
    </w:p>
    <w:p>
      <w:pPr>
        <w:pStyle w:val="ListBullet"/>
      </w:pPr>
      <w:r>
        <w:t>Legal Services to review all regulatory and public communications, with explicit reference to the types of data involved as identified by cybersecai.io.</w:t>
      </w:r>
    </w:p>
    <w:p>
      <w:r>
        <w:br/>
      </w:r>
    </w:p>
    <w:p>
      <w:pPr>
        <w:pStyle w:val="Heading1"/>
      </w:pPr>
      <w:r>
        <w:t>7. Documentation and Record-Keeping</w:t>
      </w:r>
    </w:p>
    <w:p>
      <w:pPr>
        <w:pStyle w:val="ListBullet"/>
      </w:pPr>
      <w:r>
        <w:t>DPO must maintain a **Data Breach Register** documenting:</w:t>
      </w:r>
    </w:p>
    <w:p>
      <w:pPr>
        <w:pStyle w:val="ListBullet"/>
      </w:pPr>
      <w:r>
        <w:t>Facts relating to the breach</w:t>
      </w:r>
    </w:p>
    <w:p>
      <w:pPr>
        <w:pStyle w:val="ListBullet"/>
      </w:pPr>
      <w:r>
        <w:t>Effects and remedial actions taken</w:t>
      </w:r>
    </w:p>
    <w:p>
      <w:pPr>
        <w:pStyle w:val="ListBullet"/>
      </w:pPr>
      <w:r>
        <w:t>Rationale for notification decisions</w:t>
      </w:r>
    </w:p>
    <w:p>
      <w:pPr>
        <w:pStyle w:val="ListBullet"/>
      </w:pPr>
      <w:r>
        <w:t>Risk ratings, detected fields, and recommended actions as reported by cybersecai.io</w:t>
      </w:r>
    </w:p>
    <w:p>
      <w:pPr>
        <w:pStyle w:val="ListBullet"/>
      </w:pPr>
      <w:r>
        <w:t>Records must be retained in accordance with University policy and regulatory requirements (UK GDPR, Art. 33(5)).</w:t>
      </w:r>
    </w:p>
    <w:p>
      <w:r>
        <w:br/>
      </w:r>
    </w:p>
    <w:p>
      <w:pPr>
        <w:pStyle w:val="Heading1"/>
      </w:pPr>
      <w:r>
        <w:t>8. Post-Incident Review</w:t>
      </w:r>
    </w:p>
    <w:p>
      <w:pPr>
        <w:pStyle w:val="ListBullet"/>
      </w:pPr>
      <w:r>
        <w:t>DPO to convene a post-incident review within 30 days of breach closure.</w:t>
      </w:r>
    </w:p>
    <w:p>
      <w:pPr>
        <w:pStyle w:val="ListBullet"/>
      </w:pPr>
      <w:r>
        <w:t>Review to cover:</w:t>
      </w:r>
    </w:p>
    <w:p>
      <w:pPr>
        <w:pStyle w:val="ListBullet"/>
      </w:pPr>
      <w:r>
        <w:t>Root cause analysis</w:t>
      </w:r>
    </w:p>
    <w:p>
      <w:pPr>
        <w:pStyle w:val="ListBullet"/>
      </w:pPr>
      <w:r>
        <w:t>Effectiveness of response</w:t>
      </w:r>
    </w:p>
    <w:p>
      <w:pPr>
        <w:pStyle w:val="ListBullet"/>
      </w:pPr>
      <w:r>
        <w:t>Recommendations for policy, training, or technical improvements</w:t>
      </w:r>
    </w:p>
    <w:p>
      <w:pPr>
        <w:pStyle w:val="ListBullet"/>
      </w:pPr>
      <w:r>
        <w:t>Integration of cybersecai.io findings into future incident response</w:t>
      </w:r>
    </w:p>
    <w:p>
      <w:r>
        <w:br/>
      </w:r>
    </w:p>
    <w:p>
      <w:pPr>
        <w:pStyle w:val="Heading1"/>
      </w:pPr>
      <w:r>
        <w:t>9. Training and Awareness</w:t>
      </w:r>
    </w:p>
    <w:p>
      <w:pPr>
        <w:pStyle w:val="ListBullet"/>
      </w:pPr>
      <w:r>
        <w:t>All staff must receive regular training on breach detection, reporting, and response procedures.</w:t>
      </w:r>
    </w:p>
    <w:p>
      <w:pPr>
        <w:pStyle w:val="ListBullet"/>
      </w:pPr>
      <w:r>
        <w:t>DPO to ensure ongoing awareness campaigns and updates, including specific training on the identification and handling of highly sensitive regulated data fields as flagged by cybersecai.io.</w:t>
      </w:r>
    </w:p>
    <w:p>
      <w:r>
        <w:br/>
      </w:r>
    </w:p>
    <w:p>
      <w:pPr>
        <w:pStyle w:val="Heading1"/>
      </w:pPr>
      <w:r>
        <w:t>10. Regulatory References</w:t>
      </w:r>
    </w:p>
    <w:p>
      <w:pPr>
        <w:pStyle w:val="ListBullet"/>
      </w:pPr>
      <w:r>
        <w:t>**UK GDPR Article 33:** Notification of a personal data breach to the supervisory authority</w:t>
      </w:r>
    </w:p>
    <w:p>
      <w:pPr>
        <w:pStyle w:val="ListBullet"/>
      </w:pPr>
      <w:r>
        <w:t>**UK GDPR Article 34:** Communication of a personal data breach to the data subject</w:t>
      </w:r>
    </w:p>
    <w:p>
      <w:pPr>
        <w:pStyle w:val="ListBullet"/>
      </w:pPr>
      <w:r>
        <w:t>**Data Protection Act 2018:** Supplementary provisions and enforcement</w:t>
      </w:r>
    </w:p>
    <w:p>
      <w:pPr>
        <w:pStyle w:val="ListBullet"/>
      </w:pPr>
      <w:r>
        <w:t>**Australian Privacy Act:** For data involving Australian data subjects or regulated data fields (e.g., TFN, Medicare Number)</w:t>
      </w:r>
    </w:p>
    <w:p>
      <w:pPr>
        <w:pStyle w:val="ListBullet"/>
      </w:pPr>
      <w:r>
        <w:t>**PCI DSS:** For any payment card data</w:t>
      </w:r>
    </w:p>
    <w:p>
      <w:pPr>
        <w:pStyle w:val="ListBullet"/>
      </w:pPr>
      <w:r>
        <w:t>**CCPA/CPRA:** For breaches involving US (California) regulated fields (e.g., SSN)</w:t>
      </w:r>
    </w:p>
    <w:p>
      <w:r>
        <w:br/>
      </w:r>
    </w:p>
    <w:p>
      <w:r>
        <w:t xml:space="preserve">**Approved by:**  </w:t>
      </w:r>
    </w:p>
    <w:p>
      <w:r>
        <w:t xml:space="preserve">[Name], Data Protection Officer  </w:t>
      </w:r>
    </w:p>
    <w:p>
      <w:r>
        <w:t>[Date]</w:t>
      </w:r>
    </w:p>
    <w:p>
      <w:r>
        <w:t xml:space="preserve">**Review Cycle:**  </w:t>
      </w:r>
    </w:p>
    <w:p>
      <w:r>
        <w:t>Annual or following any significant data breach or regulatory change.</w:t>
      </w:r>
    </w:p>
    <w:p>
      <w:r>
        <w:br/>
      </w:r>
    </w:p>
    <w:p>
      <w:r>
        <w:t xml:space="preserve">**Note:**  </w:t>
      </w:r>
    </w:p>
    <w:p>
      <w:r>
        <w:t>This plan incorporates real-time risk intelligence and regulated data field detection from the cybersecai.io platform. All references to regulated data types, risk ratings, and recommended actions are based on the latest output from cybersecai.io (see Appendix for detailed findings). Replace placeholders (e.g., [DPO contact details], [internal reporting mechanism], [Name], [Date]) with University-specific information prior to adoption.</w:t>
      </w:r>
    </w:p>
    <w:p>
      <w:r>
        <w:br/>
      </w:r>
    </w:p>
    <w:p>
      <w:pPr>
        <w:pStyle w:val="Heading1"/>
      </w:pPr>
      <w:r>
        <w:t>Appendix: Data Risk Intelligence (Source: cybersecai.io)</w:t>
      </w:r>
    </w:p>
    <w:p>
      <w:r>
        <w:t>The following data types and risk ratings were identified by the cybersecai.io platform in recent audits:</w:t>
      </w:r>
    </w:p>
    <w:p>
      <w:pPr>
        <w:pStyle w:val="ListBullet"/>
      </w:pPr>
      <w:r>
        <w:t>**UK GDPR:** High risk due to presence of Address, Date of Birth, Email Address, Full Name, Phone Number, Financial Assets, Login Credentials, Tax ID.</w:t>
      </w:r>
    </w:p>
    <w:p>
      <w:pPr>
        <w:pStyle w:val="ListBullet"/>
      </w:pPr>
      <w:r>
        <w:t>**Australian Privacy Act:** High risk due to Address, Australian Business Number, Date of Birth, Email Address, Financial Account, Full Name, Phone Number, Driver’s License, Tax File Number, Medicare Number, Payroll/Remuneration.</w:t>
      </w:r>
    </w:p>
    <w:p>
      <w:pPr>
        <w:pStyle w:val="ListBullet"/>
      </w:pPr>
      <w:r>
        <w:t>**PCI DSS:** High risk due to Account Number, Billing Address, Customer Email, Customer Phone, Transaction Amount, Cardholder Name, PAN (Credit Card Number), Expiration Date, CVV/CVC.</w:t>
      </w:r>
    </w:p>
    <w:p>
      <w:pPr>
        <w:pStyle w:val="ListBullet"/>
      </w:pPr>
      <w:r>
        <w:t>**CCPA/CPRA:** High risk due to presence of Social Security Number (SSN).</w:t>
      </w:r>
    </w:p>
    <w:p>
      <w:r>
        <w:t>**Auditor Recommendations (cybersecai.io):**</w:t>
      </w:r>
    </w:p>
    <w:p>
      <w:pPr>
        <w:pStyle w:val="ListBullet"/>
      </w:pPr>
      <w:r>
        <w:t>Quarantine files containing highly sensitive regulated fields.</w:t>
      </w:r>
    </w:p>
    <w:p>
      <w:pPr>
        <w:pStyle w:val="ListBullet"/>
      </w:pPr>
      <w:r>
        <w:t>Notify data owners for immediate review.</w:t>
      </w:r>
    </w:p>
    <w:p>
      <w:pPr>
        <w:pStyle w:val="ListBullet"/>
      </w:pPr>
      <w:r>
        <w:t>Prioritize containment and notification for breaches involving payment card data, government identifiers (TFN, SSN, Medicare), and authentication credentials.</w:t>
      </w:r>
    </w:p>
    <w:p>
      <w:r>
        <w:t>**Overall Risk Rating:** High</w:t>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