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CybersecAI.IO Pty Ltd</w:t>
      </w:r>
    </w:p>
    <w:p>
      <w:pPr>
        <w:pStyle w:val="Heading1"/>
      </w:pPr>
      <w:r>
        <w:t>External Communication Policy: Data Breach Incidents</w:t>
      </w:r>
    </w:p>
    <w:p>
      <w:r>
        <w:t xml:space="preserve">**Version:** 1.0  </w:t>
      </w:r>
    </w:p>
    <w:p>
      <w:r>
        <w:t xml:space="preserve">**Effective Date:** [Insert Date]  </w:t>
      </w:r>
    </w:p>
    <w:p>
      <w:r>
        <w:t xml:space="preserve">**Owner:** Chief Privacy Officer (CPO)  </w:t>
      </w:r>
    </w:p>
    <w:p>
      <w:r>
        <w:t>**Approved by:** Board of Directors</w:t>
      </w:r>
    </w:p>
    <w:p>
      <w:r>
        <w:br/>
      </w:r>
    </w:p>
    <w:p>
      <w:pPr>
        <w:pStyle w:val="Heading2"/>
      </w:pPr>
      <w:r>
        <w:t>1. Purpose</w:t>
      </w:r>
    </w:p>
    <w:p>
      <w:r>
        <w:t>This Policy establishes a framework for clear, accurate, and timely external communications by CybersecAI.IO Pty Ltd (“the Company”) with customers, regulators, media, and other stakeholders during and after a data breach. It aims to support transparency, maintain trust, and ensure compliance with applicable Australian laws and best practices.</w:t>
      </w:r>
    </w:p>
    <w:p>
      <w:r>
        <w:br/>
      </w:r>
    </w:p>
    <w:p>
      <w:pPr>
        <w:pStyle w:val="Heading2"/>
      </w:pPr>
      <w:r>
        <w:t>2. Scope</w:t>
      </w:r>
    </w:p>
    <w:p>
      <w:r>
        <w:t>This Policy applies to all employees, contractors, and representatives of the Company involved in, or responsible for, external communications relating to actual or suspected data breaches.</w:t>
      </w:r>
    </w:p>
    <w:p>
      <w:r>
        <w:br/>
      </w:r>
    </w:p>
    <w:p>
      <w:pPr>
        <w:pStyle w:val="Heading2"/>
      </w:pPr>
      <w:r>
        <w:t>3. Definitions</w:t>
      </w:r>
    </w:p>
    <w:p>
      <w:pPr>
        <w:pStyle w:val="ListBullet"/>
      </w:pPr>
      <w:r>
        <w:t>**Data Breach:** An incident involving unauthorised access to, disclosure of, or loss of personal information held by the Company (as defined in the Privacy Act 1988 (Cth)).</w:t>
      </w:r>
    </w:p>
    <w:p>
      <w:pPr>
        <w:pStyle w:val="ListBullet"/>
      </w:pPr>
      <w:r>
        <w:t>**External Communication:** Any communication with individuals or entities outside the Company, including customers, regulators, media, suppliers, and the public.</w:t>
      </w:r>
    </w:p>
    <w:p>
      <w:r>
        <w:br/>
      </w:r>
    </w:p>
    <w:p>
      <w:pPr>
        <w:pStyle w:val="Heading2"/>
      </w:pPr>
      <w:r>
        <w:t>4. Policy Statement</w:t>
      </w:r>
    </w:p>
    <w:p>
      <w:r>
        <w:t>The Company is committed to:</w:t>
      </w:r>
    </w:p>
    <w:p>
      <w:pPr>
        <w:pStyle w:val="ListBullet"/>
      </w:pPr>
      <w:r>
        <w:t>Providing timely, accurate, and transparent information to affected stakeholders.</w:t>
      </w:r>
    </w:p>
    <w:p>
      <w:pPr>
        <w:pStyle w:val="ListBullet"/>
      </w:pPr>
      <w:r>
        <w:t>Complying with the Notifiable Data Breaches (NDB) scheme under the Privacy Act 1988 (Cth).</w:t>
      </w:r>
    </w:p>
    <w:p>
      <w:pPr>
        <w:pStyle w:val="ListBullet"/>
      </w:pPr>
      <w:r>
        <w:t>Minimising harm to individuals and the Company’s reputation.</w:t>
      </w:r>
    </w:p>
    <w:p>
      <w:r>
        <w:br/>
      </w:r>
    </w:p>
    <w:p>
      <w:pPr>
        <w:pStyle w:val="Heading2"/>
      </w:pPr>
      <w:r>
        <w:t>5.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Chief Privacy Officer (CPO)</w:t>
            </w:r>
          </w:p>
        </w:tc>
        <w:tc>
          <w:tcPr>
            <w:tcW w:type="dxa" w:w="4320"/>
          </w:tcPr>
          <w:p>
            <w:r>
              <w:t>Lead external communications; approve all statements; liaise with regulators.</w:t>
            </w:r>
          </w:p>
        </w:tc>
      </w:tr>
      <w:tr>
        <w:tc>
          <w:tcPr>
            <w:tcW w:type="dxa" w:w="4320"/>
          </w:tcPr>
          <w:p>
            <w:r>
              <w:t>Legal Counsel</w:t>
            </w:r>
          </w:p>
        </w:tc>
        <w:tc>
          <w:tcPr>
            <w:tcW w:type="dxa" w:w="4320"/>
          </w:tcPr>
          <w:p>
            <w:r>
              <w:t>Advise on legal obligations and review communications for compliance.</w:t>
            </w:r>
          </w:p>
        </w:tc>
      </w:tr>
      <w:tr>
        <w:tc>
          <w:tcPr>
            <w:tcW w:type="dxa" w:w="4320"/>
          </w:tcPr>
          <w:p>
            <w:r>
              <w:t>Communications Manager</w:t>
            </w:r>
          </w:p>
        </w:tc>
        <w:tc>
          <w:tcPr>
            <w:tcW w:type="dxa" w:w="4320"/>
          </w:tcPr>
          <w:p>
            <w:r>
              <w:t>Draft and coordinate external messages; manage media inquiries.</w:t>
            </w:r>
          </w:p>
        </w:tc>
      </w:tr>
      <w:tr>
        <w:tc>
          <w:tcPr>
            <w:tcW w:type="dxa" w:w="4320"/>
          </w:tcPr>
          <w:p>
            <w:r>
              <w:t>IT Security Lead</w:t>
            </w:r>
          </w:p>
        </w:tc>
        <w:tc>
          <w:tcPr>
            <w:tcW w:type="dxa" w:w="4320"/>
          </w:tcPr>
          <w:p>
            <w:r>
              <w:t>Provide technical details and incident updates as required.</w:t>
            </w:r>
          </w:p>
        </w:tc>
      </w:tr>
      <w:tr>
        <w:tc>
          <w:tcPr>
            <w:tcW w:type="dxa" w:w="4320"/>
          </w:tcPr>
          <w:p>
            <w:r>
              <w:t>Board of Directors</w:t>
            </w:r>
          </w:p>
        </w:tc>
        <w:tc>
          <w:tcPr>
            <w:tcW w:type="dxa" w:w="4320"/>
          </w:tcPr>
          <w:p>
            <w:r>
              <w:t>Approve high-risk or high-profile communications as necessary.</w:t>
            </w:r>
          </w:p>
        </w:tc>
      </w:tr>
    </w:tbl>
    <w:p>
      <w:r>
        <w:br/>
      </w:r>
    </w:p>
    <w:p>
      <w:pPr>
        <w:pStyle w:val="Heading2"/>
      </w:pPr>
      <w:r>
        <w:t>6. Action Steps</w:t>
      </w:r>
    </w:p>
    <w:p>
      <w:pPr>
        <w:pStyle w:val="Heading3"/>
      </w:pPr>
      <w:r>
        <w:t>6.1. Initial Assessment</w:t>
      </w:r>
    </w:p>
    <w:p>
      <w:pPr>
        <w:pStyle w:val="ListBullet"/>
      </w:pPr>
      <w:r>
        <w:t>Upon identification of a data breach, the CPO convenes the Data Breach Response Team.</w:t>
      </w:r>
    </w:p>
    <w:p>
      <w:pPr>
        <w:pStyle w:val="ListBullet"/>
      </w:pPr>
      <w:r>
        <w:t>Assess whether the breach is likely to result in serious harm to individuals (refer to Privacy Act 1988 (Cth), s 26WE).</w:t>
      </w:r>
    </w:p>
    <w:p>
      <w:pPr>
        <w:pStyle w:val="Heading3"/>
      </w:pPr>
      <w:r>
        <w:t>6.2. Notification Determination</w:t>
      </w:r>
    </w:p>
    <w:p>
      <w:pPr>
        <w:pStyle w:val="ListBullet"/>
      </w:pPr>
      <w:r>
        <w:t>If notification is required under the NDB scheme, prepare a statement for the Office of the Australian Information Commissioner (OAIC) and affected individuals (s 26WK).</w:t>
      </w:r>
    </w:p>
    <w:p>
      <w:pPr>
        <w:pStyle w:val="ListBullet"/>
      </w:pPr>
      <w:r>
        <w:t>If notification is not required, document the assessment and rationale.</w:t>
      </w:r>
    </w:p>
    <w:p>
      <w:pPr>
        <w:pStyle w:val="Heading3"/>
      </w:pPr>
      <w:r>
        <w:t>6.3. Preparation of External Communications</w:t>
      </w:r>
    </w:p>
    <w:p>
      <w:pPr>
        <w:pStyle w:val="ListBullet"/>
      </w:pPr>
      <w:r>
        <w:t>All external communications must be:</w:t>
      </w:r>
    </w:p>
    <w:p>
      <w:pPr>
        <w:pStyle w:val="ListBullet"/>
      </w:pPr>
      <w:r>
        <w:t>Factually accurate and not speculative.</w:t>
      </w:r>
    </w:p>
    <w:p>
      <w:pPr>
        <w:pStyle w:val="ListBullet"/>
      </w:pPr>
      <w:r>
        <w:t>Clear, concise, and consistent.</w:t>
      </w:r>
    </w:p>
    <w:p>
      <w:pPr>
        <w:pStyle w:val="ListBullet"/>
      </w:pPr>
      <w:r>
        <w:t>Reviewed and approved by Legal Counsel and the CPO.</w:t>
      </w:r>
    </w:p>
    <w:p>
      <w:pPr>
        <w:pStyle w:val="ListBullet"/>
      </w:pPr>
      <w:r>
        <w:t>Communications to include:</w:t>
      </w:r>
    </w:p>
    <w:p>
      <w:pPr>
        <w:pStyle w:val="ListBullet"/>
      </w:pPr>
      <w:r>
        <w:t>Nature and extent of the breach.</w:t>
      </w:r>
    </w:p>
    <w:p>
      <w:pPr>
        <w:pStyle w:val="ListBullet"/>
      </w:pPr>
      <w:r>
        <w:t>Types of information involved.</w:t>
      </w:r>
    </w:p>
    <w:p>
      <w:pPr>
        <w:pStyle w:val="ListBullet"/>
      </w:pPr>
      <w:r>
        <w:t>Steps taken/to be taken by the Company.</w:t>
      </w:r>
    </w:p>
    <w:p>
      <w:pPr>
        <w:pStyle w:val="ListBullet"/>
      </w:pPr>
      <w:r>
        <w:t>Recommendations for affected individuals.</w:t>
      </w:r>
    </w:p>
    <w:p>
      <w:pPr>
        <w:pStyle w:val="ListBullet"/>
      </w:pPr>
      <w:r>
        <w:t>Contact details for further information.</w:t>
      </w:r>
    </w:p>
    <w:p>
      <w:pPr>
        <w:pStyle w:val="Heading3"/>
      </w:pPr>
      <w:r>
        <w:t>6.4. Stakeholder-Specific Communications</w:t>
      </w:r>
    </w:p>
    <w:p>
      <w:pPr>
        <w:pStyle w:val="ListBullet"/>
      </w:pPr>
      <w:r>
        <w:t>**Customers:** Notify directly and promptly, using appropriate channels (email, phone, or mail).</w:t>
      </w:r>
    </w:p>
    <w:p>
      <w:pPr>
        <w:pStyle w:val="ListBullet"/>
      </w:pPr>
      <w:r>
        <w:t>**Regulators (OAIC):** Notify as required by law, using the prescribed form and content.</w:t>
      </w:r>
    </w:p>
    <w:p>
      <w:pPr>
        <w:pStyle w:val="ListBullet"/>
      </w:pPr>
      <w:r>
        <w:t>**Media/Public:** Only the Communications Manager or CPO may respond to media inquiries. Use pre-approved statements.</w:t>
      </w:r>
    </w:p>
    <w:p>
      <w:pPr>
        <w:pStyle w:val="ListBullet"/>
      </w:pPr>
      <w:r>
        <w:t>**Other Stakeholders:** Notify partners, suppliers, or other affected parties as appropriate.</w:t>
      </w:r>
    </w:p>
    <w:p>
      <w:pPr>
        <w:pStyle w:val="Heading3"/>
      </w:pPr>
      <w:r>
        <w:t>6.5. Ongoing Updates</w:t>
      </w:r>
    </w:p>
    <w:p>
      <w:pPr>
        <w:pStyle w:val="ListBullet"/>
      </w:pPr>
      <w:r>
        <w:t>Provide timely updates as new information becomes available or as required by law.</w:t>
      </w:r>
    </w:p>
    <w:p>
      <w:pPr>
        <w:pStyle w:val="ListBullet"/>
      </w:pPr>
      <w:r>
        <w:t>Maintain records of all communications.</w:t>
      </w:r>
    </w:p>
    <w:p>
      <w:r>
        <w:br/>
      </w:r>
    </w:p>
    <w:p>
      <w:pPr>
        <w:pStyle w:val="Heading2"/>
      </w:pPr>
      <w:r>
        <w:t>7. Regulatory Cross-References</w:t>
      </w:r>
    </w:p>
    <w:p>
      <w:pPr>
        <w:pStyle w:val="ListBullet"/>
      </w:pPr>
      <w:r>
        <w:rPr>
          <w:b/>
        </w:rPr>
        <w:t>Privacy Act 1988 (Cth)</w:t>
      </w:r>
    </w:p>
    <w:p>
      <w:pPr>
        <w:pStyle w:val="ListBullet2"/>
      </w:pPr>
      <w:r>
        <w:t>Part IIIC – Notifiable Data Breaches</w:t>
      </w:r>
    </w:p>
    <w:p>
      <w:pPr>
        <w:pStyle w:val="ListBullet2"/>
      </w:pPr>
      <w:r>
        <w:t>Australian Privacy Principles (APPs) 1, 6, 11, 13</w:t>
      </w:r>
    </w:p>
    <w:p>
      <w:pPr>
        <w:pStyle w:val="ListBullet"/>
      </w:pPr>
      <w:r>
        <w:rPr>
          <w:b/>
        </w:rPr>
        <w:t>OAIC Guidance</w:t>
      </w:r>
    </w:p>
    <w:p>
      <w:pPr>
        <w:pStyle w:val="ListBullet2"/>
      </w:pPr>
      <w:r>
        <w:t>Data breach preparation and response</w:t>
      </w:r>
    </w:p>
    <w:p>
      <w:pPr>
        <w:pStyle w:val="ListBullet2"/>
      </w:pPr>
      <w:r>
        <w:t>Guide to handling personal information security breaches</w:t>
      </w:r>
    </w:p>
    <w:p>
      <w:pPr>
        <w:pStyle w:val="ListBullet"/>
      </w:pPr>
      <w:r>
        <w:rPr>
          <w:b/>
        </w:rPr>
        <w:t>Other Relevant Standards</w:t>
      </w:r>
    </w:p>
    <w:p>
      <w:pPr>
        <w:pStyle w:val="ListBullet2"/>
      </w:pPr>
      <w:r>
        <w:t>UK GDPR (where applicable)</w:t>
      </w:r>
    </w:p>
    <w:p>
      <w:pPr>
        <w:pStyle w:val="ListBullet2"/>
      </w:pPr>
      <w:r>
        <w:t>PCI DSS (where payment card data is involved)</w:t>
      </w:r>
    </w:p>
    <w:p>
      <w:pPr>
        <w:pStyle w:val="ListBullet2"/>
      </w:pPr>
      <w:r>
        <w:t>CCPA/CPRA (if US data subjects are affected)</w:t>
      </w:r>
    </w:p>
    <w:p>
      <w:r>
        <w:br/>
      </w:r>
    </w:p>
    <w:p>
      <w:pPr>
        <w:pStyle w:val="Heading2"/>
      </w:pPr>
      <w:r>
        <w:t>8. Data Sensitivity and Risk Context</w:t>
      </w:r>
    </w:p>
    <w:p>
      <w:r>
        <w:t>CybersecAI.IO’s cybersecai.io platform has identified, through automated data discovery and risk analysis, that the Company routinely processes and stores highly sensitive and regulated data types, including but not limited to:</w:t>
      </w:r>
    </w:p>
    <w:p>
      <w:pPr>
        <w:pStyle w:val="ListBullet"/>
      </w:pPr>
      <w:r>
        <w:t>**Personal Identifiers:** Full names, dates of birth, addresses, email addresses, phone numbers, driver’s license numbers, and Tax File Numbers (TFN).</w:t>
      </w:r>
    </w:p>
    <w:p>
      <w:pPr>
        <w:pStyle w:val="ListBullet"/>
      </w:pPr>
      <w:r>
        <w:t>**Financial Data:** Credit card numbers, account numbers, billing addresses, transaction amounts, and payment receipts.</w:t>
      </w:r>
    </w:p>
    <w:p>
      <w:pPr>
        <w:pStyle w:val="ListBullet"/>
      </w:pPr>
      <w:r>
        <w:t>**Health and Government Identifiers:** Medicare numbers, Social Security Numbers (SSN) (for US data subjects).</w:t>
      </w:r>
    </w:p>
    <w:p>
      <w:pPr>
        <w:pStyle w:val="ListBullet"/>
      </w:pPr>
      <w:r>
        <w:t>**Authentication Data:** Login credentials.</w:t>
      </w:r>
    </w:p>
    <w:p>
      <w:r>
        <w:t xml:space="preserve">**Risk Ratings:**  </w:t>
      </w:r>
    </w:p>
    <w:p>
      <w:r>
        <w:t>All recent data audits conducted via the cybersecai.io platform have classified the overall risk rating as **High**, due to the presence of multiple regulated data fields under the Australian Privacy Act, UK GDPR, PCI DSS, and CCPA/CPRA. The exposure of such data—especially TFNs, Medicare numbers, credit card details, and authentication credentials—poses a significant risk of identity theft, fraud, and regulatory non-compliance.</w:t>
      </w:r>
    </w:p>
    <w:p>
      <w:r>
        <w:t>**Auditor Recommendations (from cybersecai.io platform):**</w:t>
      </w:r>
    </w:p>
    <w:p>
      <w:pPr>
        <w:pStyle w:val="ListBullet"/>
      </w:pPr>
      <w:r>
        <w:t>Quarantine affected files immediately.</w:t>
      </w:r>
    </w:p>
    <w:p>
      <w:pPr>
        <w:pStyle w:val="ListBullet"/>
      </w:pPr>
      <w:r>
        <w:t>Notify data owners and relevant stakeholders without delay.</w:t>
      </w:r>
    </w:p>
    <w:p>
      <w:pPr>
        <w:pStyle w:val="ListBullet"/>
      </w:pPr>
      <w:r>
        <w:t>Conduct a thorough review of all potentially impacted data sets.</w:t>
      </w:r>
    </w:p>
    <w:p>
      <w:r>
        <w:t>**Source:** cybersecai.io platform, M365 and SMB data risk assessments.</w:t>
      </w:r>
    </w:p>
    <w:p>
      <w:r>
        <w:br/>
      </w:r>
    </w:p>
    <w:p>
      <w:pPr>
        <w:pStyle w:val="Heading2"/>
      </w:pPr>
      <w:r>
        <w:t>9. Review and Training</w:t>
      </w:r>
    </w:p>
    <w:p>
      <w:pPr>
        <w:pStyle w:val="ListBullet"/>
      </w:pPr>
      <w:r>
        <w:t>This Policy will be reviewed annually or after any significant data breach.</w:t>
      </w:r>
    </w:p>
    <w:p>
      <w:pPr>
        <w:pStyle w:val="ListBullet"/>
      </w:pPr>
      <w:r>
        <w:t>All relevant personnel must receive training on this Policy and their responsibilities, with particular emphasis on the handling and communication of incidents involving high-risk regulated data as identified by the cybersecai.io platform.</w:t>
      </w:r>
    </w:p>
    <w:p>
      <w:r>
        <w:br/>
      </w:r>
    </w:p>
    <w:p>
      <w:pPr>
        <w:pStyle w:val="Heading2"/>
      </w:pPr>
      <w:r>
        <w:t>10. Breach of Policy</w:t>
      </w:r>
    </w:p>
    <w:p>
      <w:r>
        <w:t>Non-compliance with this Policy may result in disciplinary action, including termination of employment or contract.</w:t>
      </w:r>
    </w:p>
    <w:p>
      <w:r>
        <w:br/>
      </w:r>
    </w:p>
    <w:p>
      <w:r>
        <w:t xml:space="preserve">**Contact:**  </w:t>
      </w:r>
    </w:p>
    <w:p>
      <w:r>
        <w:t xml:space="preserve">Chief Privacy Officer  </w:t>
      </w:r>
    </w:p>
    <w:p>
      <w:r>
        <w:t>privacy@cybersecai.io</w:t>
      </w:r>
    </w:p>
    <w:p>
      <w:r>
        <w:br/>
      </w:r>
    </w:p>
    <w:p>
      <w:r>
        <w:t>*This document incorporates data risk and sensitivity findings from the cybersecai.io platform. For further details on risk ratings, detected fields, and recommended actions, refer to the latest platform reports or contact the CPO.*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