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CybersecAI.IO Pty Ltd</w:t>
      </w:r>
    </w:p>
    <w:p>
      <w:pPr>
        <w:pStyle w:val="Heading1"/>
      </w:pPr>
      <w:r>
        <w:t>Data Breach Incident Register</w:t>
      </w:r>
    </w:p>
    <w:p>
      <w:r>
        <w:t xml:space="preserve">**Purpose:**  </w:t>
      </w:r>
    </w:p>
    <w:p>
      <w:r>
        <w:t>To maintain a comprehensive, accurate, and auditable record of all data breach incidents, actions taken, and outcomes, in accordance with the Privacy Act 1988 (Cth), Australian Privacy Principles (APP) 11.1, and OAIC guidance.</w:t>
      </w:r>
    </w:p>
    <w:p>
      <w:r>
        <w:t xml:space="preserve">**Scope:**  </w:t>
      </w:r>
    </w:p>
    <w:p>
      <w:r>
        <w:t>This register applies to all actual, suspected, or potential data breach incidents involving personal information held by CybersecAI.IO Pty Ltd.</w:t>
      </w:r>
    </w:p>
    <w:p>
      <w:r>
        <w:br/>
      </w:r>
    </w:p>
    <w:p>
      <w:pPr>
        <w:pStyle w:val="Heading1"/>
      </w:pPr>
      <w:r>
        <w:t>1. Responsibilities</w:t>
      </w:r>
    </w:p>
    <w:p>
      <w:pPr>
        <w:pStyle w:val="ListBullet"/>
      </w:pPr>
      <w:r>
        <w:t>**Data Protection Officer (DPO):** Oversight of the register, ensuring completeness and accuracy.</w:t>
      </w:r>
    </w:p>
    <w:p>
      <w:pPr>
        <w:pStyle w:val="ListBullet"/>
      </w:pPr>
      <w:r>
        <w:t>**Incident Response Team:** Timely entry and updating of incident details.</w:t>
      </w:r>
    </w:p>
    <w:p>
      <w:pPr>
        <w:pStyle w:val="ListBullet"/>
      </w:pPr>
      <w:r>
        <w:t>**All Staff:** Immediate reporting of suspected or actual data breaches to the DPO.</w:t>
      </w:r>
    </w:p>
    <w:p>
      <w:r>
        <w:br/>
      </w:r>
    </w:p>
    <w:p>
      <w:pPr>
        <w:pStyle w:val="Heading1"/>
      </w:pPr>
      <w:r>
        <w:t>2. Incident Entry Template</w:t>
      </w:r>
    </w:p>
    <w:tbl>
      <w:tblPr>
        <w:tblStyle w:val="LightGrid-Accent1"/>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Incident ID</w:t>
            </w:r>
          </w:p>
        </w:tc>
        <w:tc>
          <w:tcPr>
            <w:tcW w:type="dxa" w:w="576"/>
          </w:tcPr>
          <w:p>
            <w:r>
              <w:t>Date Detected</w:t>
            </w:r>
          </w:p>
        </w:tc>
        <w:tc>
          <w:tcPr>
            <w:tcW w:type="dxa" w:w="576"/>
          </w:tcPr>
          <w:p>
            <w:r>
              <w:t>Date Occurred</w:t>
            </w:r>
          </w:p>
        </w:tc>
        <w:tc>
          <w:tcPr>
            <w:tcW w:type="dxa" w:w="576"/>
          </w:tcPr>
          <w:p>
            <w:r>
              <w:t>Reported By</w:t>
            </w:r>
          </w:p>
        </w:tc>
        <w:tc>
          <w:tcPr>
            <w:tcW w:type="dxa" w:w="576"/>
          </w:tcPr>
          <w:p>
            <w:r>
              <w:t>Description of Incident</w:t>
            </w:r>
          </w:p>
        </w:tc>
        <w:tc>
          <w:tcPr>
            <w:tcW w:type="dxa" w:w="576"/>
          </w:tcPr>
          <w:p>
            <w:r>
              <w:t>Type of Breach</w:t>
            </w:r>
          </w:p>
        </w:tc>
        <w:tc>
          <w:tcPr>
            <w:tcW w:type="dxa" w:w="576"/>
          </w:tcPr>
          <w:p>
            <w:r>
              <w:t>Personal Information Involved</w:t>
            </w:r>
          </w:p>
        </w:tc>
        <w:tc>
          <w:tcPr>
            <w:tcW w:type="dxa" w:w="576"/>
          </w:tcPr>
          <w:p>
            <w:r>
              <w:t>Affected Individuals/Entities</w:t>
            </w:r>
          </w:p>
        </w:tc>
        <w:tc>
          <w:tcPr>
            <w:tcW w:type="dxa" w:w="576"/>
          </w:tcPr>
          <w:p>
            <w:r>
              <w:t>Containment Actions</w:t>
            </w:r>
          </w:p>
        </w:tc>
        <w:tc>
          <w:tcPr>
            <w:tcW w:type="dxa" w:w="576"/>
          </w:tcPr>
          <w:p>
            <w:r>
              <w:t>Assessment &amp; Investigation</w:t>
            </w:r>
          </w:p>
        </w:tc>
        <w:tc>
          <w:tcPr>
            <w:tcW w:type="dxa" w:w="576"/>
          </w:tcPr>
          <w:p>
            <w:r>
              <w:t>Notification (OAIC/Individuals)</w:t>
            </w:r>
          </w:p>
        </w:tc>
        <w:tc>
          <w:tcPr>
            <w:tcW w:type="dxa" w:w="576"/>
          </w:tcPr>
          <w:p>
            <w:r>
              <w:t>Remediation Actions</w:t>
            </w:r>
          </w:p>
        </w:tc>
        <w:tc>
          <w:tcPr>
            <w:tcW w:type="dxa" w:w="576"/>
          </w:tcPr>
          <w:p>
            <w:r>
              <w:t>Outcome/Resolution</w:t>
            </w:r>
          </w:p>
        </w:tc>
        <w:tc>
          <w:tcPr>
            <w:tcW w:type="dxa" w:w="576"/>
          </w:tcPr>
          <w:p>
            <w:r>
              <w:t>Date Closed</w:t>
            </w:r>
          </w:p>
        </w:tc>
        <w:tc>
          <w:tcPr>
            <w:tcW w:type="dxa" w:w="576"/>
          </w:tcPr>
          <w:p>
            <w:r>
              <w:t>Regulatory Reference</w:t>
            </w:r>
          </w:p>
        </w:tc>
      </w:tr>
      <w:tr>
        <w:tc>
          <w:tcPr>
            <w:tcW w:type="dxa" w:w="576"/>
          </w:tcPr>
          <w:p>
            <w:r>
              <w:t>2024-001</w:t>
            </w:r>
          </w:p>
        </w:tc>
        <w:tc>
          <w:tcPr>
            <w:tcW w:type="dxa" w:w="576"/>
          </w:tcPr>
          <w:p>
            <w:r>
              <w:t>12/06/2024</w:t>
            </w:r>
          </w:p>
        </w:tc>
        <w:tc>
          <w:tcPr>
            <w:tcW w:type="dxa" w:w="576"/>
          </w:tcPr>
          <w:p>
            <w:r>
              <w:t>11/06/2024</w:t>
            </w:r>
          </w:p>
        </w:tc>
        <w:tc>
          <w:tcPr>
            <w:tcW w:type="dxa" w:w="576"/>
          </w:tcPr>
          <w:p>
            <w:r>
              <w:t>Security Analyst (M365)</w:t>
            </w:r>
          </w:p>
        </w:tc>
        <w:tc>
          <w:tcPr>
            <w:tcW w:type="dxa" w:w="576"/>
          </w:tcPr>
          <w:p>
            <w:r>
              <w:t>Detection of multiple files containing highly sensitive regulated data (names, DOB, addresses, financial data, login credentials, tax IDs, card data) across M365 and SMB storage.</w:t>
            </w:r>
          </w:p>
        </w:tc>
        <w:tc>
          <w:tcPr>
            <w:tcW w:type="dxa" w:w="576"/>
          </w:tcPr>
          <w:p>
            <w:r>
              <w:t>Unauthorised access (potential), Inadvertent disclosure</w:t>
            </w:r>
          </w:p>
        </w:tc>
        <w:tc>
          <w:tcPr>
            <w:tcW w:type="dxa" w:w="576"/>
          </w:tcPr>
          <w:p>
            <w:r>
              <w:t>Full Name, Date of Birth, Address, Email Address, Phone Number, Financial Account, Payroll/Remuneration, Login Credentials, Tax File Number, Driver’s License, Medicare Number, Credit Card Number, PAN, CVV/CVC, Billing Address, Tax Invoice, Payment Receipts, SSN</w:t>
            </w:r>
          </w:p>
        </w:tc>
        <w:tc>
          <w:tcPr>
            <w:tcW w:type="dxa" w:w="576"/>
          </w:tcPr>
          <w:p>
            <w:r>
              <w:t>Employees, Customers, Corporate Entities</w:t>
            </w:r>
          </w:p>
        </w:tc>
        <w:tc>
          <w:tcPr>
            <w:tcW w:type="dxa" w:w="576"/>
          </w:tcPr>
          <w:p>
            <w:r>
              <w:t>Immediate quarantine of affected files; access restricted; incident response initiated</w:t>
            </w:r>
          </w:p>
        </w:tc>
        <w:tc>
          <w:tcPr>
            <w:tcW w:type="dxa" w:w="576"/>
          </w:tcPr>
          <w:p>
            <w:r>
              <w:t>Comprehensive risk assessment using CybersecAI.IO platform: High risk under UK GDPR, Australian Privacy Act, PCI DSS, CCPA/CPRA. Confirmed presence of highly sensitive data fields.</w:t>
            </w:r>
          </w:p>
        </w:tc>
        <w:tc>
          <w:tcPr>
            <w:tcW w:type="dxa" w:w="576"/>
          </w:tcPr>
          <w:p>
            <w:r>
              <w:t>12/06/2024, OAIC and affected individuals notified via email and phone as per NDB Scheme</w:t>
            </w:r>
          </w:p>
        </w:tc>
        <w:tc>
          <w:tcPr>
            <w:tcW w:type="dxa" w:w="576"/>
          </w:tcPr>
          <w:p>
            <w:r>
              <w:t>Review and update of access controls, enhanced monitoring, staff retraining, policy updates, DLP configuration</w:t>
            </w:r>
          </w:p>
        </w:tc>
        <w:tc>
          <w:tcPr>
            <w:tcW w:type="dxa" w:w="576"/>
          </w:tcPr>
          <w:p>
            <w:r>
              <w:t>Incident contained. No evidence of external exfiltration. Lessons: Need for stricter DLP, ongoing monitoring, and regular audits.</w:t>
            </w:r>
          </w:p>
        </w:tc>
        <w:tc>
          <w:tcPr>
            <w:tcW w:type="dxa" w:w="576"/>
          </w:tcPr>
          <w:p>
            <w:r>
              <w:t>20/06/2024</w:t>
            </w:r>
          </w:p>
        </w:tc>
        <w:tc>
          <w:tcPr>
            <w:tcW w:type="dxa" w:w="576"/>
          </w:tcPr>
          <w:p>
            <w:r>
              <w:t>APP 11.1, NDB Scheme, PCI DSS, UK GDPR, CCPA/CPRA</w:t>
            </w:r>
          </w:p>
        </w:tc>
      </w:tr>
    </w:tbl>
    <w:p>
      <w:r>
        <w:br/>
      </w:r>
    </w:p>
    <w:p>
      <w:pPr>
        <w:pStyle w:val="Heading1"/>
      </w:pPr>
      <w:r>
        <w:t>3. Action Steps</w:t>
      </w:r>
    </w:p>
    <w:p>
      <w:pPr>
        <w:pStyle w:val="ListNumber"/>
      </w:pPr>
      <w:r>
        <w:t>**Immediate Containment:**</w:t>
      </w:r>
    </w:p>
    <w:p>
      <w:pPr>
        <w:pStyle w:val="ListBullet"/>
      </w:pPr>
      <w:r>
        <w:t>Quarantined all files flagged by the CybersecAI.IO platform containing regulated data types (e.g., full names, DOB, financial accounts, card data, tax IDs, SSN).</w:t>
      </w:r>
    </w:p>
    <w:p>
      <w:pPr>
        <w:pStyle w:val="ListBullet"/>
      </w:pPr>
      <w:r>
        <w:t>Restricted access to affected storage locations (M365, SMB).</w:t>
      </w:r>
    </w:p>
    <w:p>
      <w:pPr>
        <w:pStyle w:val="ListBullet"/>
      </w:pPr>
      <w:r>
        <w:t>Documented all containment measures in accordance with OAIC and internal policy.</w:t>
      </w:r>
    </w:p>
    <w:p>
      <w:pPr>
        <w:pStyle w:val="ListNumber"/>
      </w:pPr>
      <w:r>
        <w:t>**Assessment &amp; Investigation:**</w:t>
      </w:r>
    </w:p>
    <w:p>
      <w:pPr>
        <w:pStyle w:val="ListBullet"/>
      </w:pPr>
      <w:r>
        <w:t>Utilised CybersecAI.IO's automated risk assessment, confirming high risk due to the presence of multiple regulated data types (see detailed detection in platform output).</w:t>
      </w:r>
    </w:p>
    <w:p>
      <w:pPr>
        <w:pStyle w:val="ListBullet"/>
      </w:pPr>
      <w:r>
        <w:t>Evaluated the scope of exposure and potential for identity theft, fraud, and regulatory breach.</w:t>
      </w:r>
    </w:p>
    <w:p>
      <w:pPr>
        <w:pStyle w:val="ListBullet"/>
      </w:pPr>
      <w:r>
        <w:t>Confirmed no evidence of external exfiltration or malicious access.</w:t>
      </w:r>
    </w:p>
    <w:p>
      <w:pPr>
        <w:pStyle w:val="ListNumber"/>
      </w:pPr>
      <w:r>
        <w:t>**Notification:**</w:t>
      </w:r>
    </w:p>
    <w:p>
      <w:pPr>
        <w:pStyle w:val="ListBullet"/>
      </w:pPr>
      <w:r>
        <w:t>Determined notification required under the Notifiable Data Breaches (NDB) Scheme.</w:t>
      </w:r>
    </w:p>
    <w:p>
      <w:pPr>
        <w:pStyle w:val="ListBullet"/>
      </w:pPr>
      <w:r>
        <w:t>Notified OAIC and all affected individuals/entities on 12/06/2024 via secure channels.</w:t>
      </w:r>
    </w:p>
    <w:p>
      <w:pPr>
        <w:pStyle w:val="ListBullet"/>
      </w:pPr>
      <w:r>
        <w:t>Maintained detailed records of notification as per regulatory requirements.</w:t>
      </w:r>
    </w:p>
    <w:p>
      <w:pPr>
        <w:pStyle w:val="ListNumber"/>
      </w:pPr>
      <w:r>
        <w:t>**Remediation:**</w:t>
      </w:r>
    </w:p>
    <w:p>
      <w:pPr>
        <w:pStyle w:val="ListBullet"/>
      </w:pPr>
      <w:r>
        <w:t>Updated and strengthened DLP (Data Loss Prevention) policies.</w:t>
      </w:r>
    </w:p>
    <w:p>
      <w:pPr>
        <w:pStyle w:val="ListBullet"/>
      </w:pPr>
      <w:r>
        <w:t>Conducted staff retraining on handling of regulated data.</w:t>
      </w:r>
    </w:p>
    <w:p>
      <w:pPr>
        <w:pStyle w:val="ListBullet"/>
      </w:pPr>
      <w:r>
        <w:t>Enhanced monitoring and regular automated scanning using CybersecAI.IO platform.</w:t>
      </w:r>
    </w:p>
    <w:p>
      <w:pPr>
        <w:pStyle w:val="ListBullet"/>
      </w:pPr>
      <w:r>
        <w:t>Reviewed and updated internal incident response procedures.</w:t>
      </w:r>
    </w:p>
    <w:p>
      <w:pPr>
        <w:pStyle w:val="ListNumber"/>
      </w:pPr>
      <w:r>
        <w:t>**Closure:**</w:t>
      </w:r>
    </w:p>
    <w:p>
      <w:pPr>
        <w:pStyle w:val="ListBullet"/>
      </w:pPr>
      <w:r>
        <w:t>Incident formally closed on 20/06/2024 following DPO review.</w:t>
      </w:r>
    </w:p>
    <w:p>
      <w:pPr>
        <w:pStyle w:val="ListBullet"/>
      </w:pPr>
      <w:r>
        <w:t>Documented all outcomes and lessons learned for future prevention.</w:t>
      </w:r>
    </w:p>
    <w:p>
      <w:r>
        <w:br/>
      </w:r>
    </w:p>
    <w:p>
      <w:pPr>
        <w:pStyle w:val="Heading1"/>
      </w:pPr>
      <w:r>
        <w:t>4. Regulatory Cross-References</w:t>
      </w:r>
    </w:p>
    <w:p>
      <w:pPr>
        <w:pStyle w:val="ListBullet"/>
      </w:pPr>
      <w:r>
        <w:rPr>
          <w:b/>
        </w:rPr>
        <w:t>Privacy Act 1988 (Cth)</w:t>
      </w:r>
    </w:p>
    <w:p>
      <w:pPr>
        <w:pStyle w:val="ListBullet"/>
      </w:pPr>
      <w:r>
        <w:t>**Australian Privacy Principle 11.1 (APP 11.1):** Security of personal information.</w:t>
      </w:r>
    </w:p>
    <w:p>
      <w:pPr>
        <w:pStyle w:val="ListBullet"/>
      </w:pPr>
      <w:r>
        <w:rPr>
          <w:b/>
        </w:rPr>
        <w:t>OAIC Data Breach Preparation and Response Guide</w:t>
      </w:r>
    </w:p>
    <w:p>
      <w:pPr>
        <w:pStyle w:val="ListBullet"/>
      </w:pPr>
      <w:r>
        <w:rPr>
          <w:b/>
        </w:rPr>
        <w:t>Notifiable Data Breaches (NDB) Scheme</w:t>
      </w:r>
    </w:p>
    <w:p>
      <w:pPr>
        <w:pStyle w:val="ListBullet"/>
      </w:pPr>
      <w:r>
        <w:rPr>
          <w:b/>
        </w:rPr>
        <w:t>UK GDPR</w:t>
      </w:r>
    </w:p>
    <w:p>
      <w:pPr>
        <w:pStyle w:val="ListBullet"/>
      </w:pPr>
      <w:r>
        <w:rPr>
          <w:b/>
        </w:rPr>
        <w:t>PCI DSS</w:t>
      </w:r>
    </w:p>
    <w:p>
      <w:pPr>
        <w:pStyle w:val="ListBullet"/>
      </w:pPr>
      <w:r>
        <w:rPr>
          <w:b/>
        </w:rPr>
        <w:t>CCPA/CPRA</w:t>
      </w:r>
    </w:p>
    <w:p>
      <w:r>
        <w:br/>
      </w:r>
    </w:p>
    <w:p>
      <w:pPr>
        <w:pStyle w:val="Heading1"/>
      </w:pPr>
      <w:r>
        <w:t>5. Review and Audit</w:t>
      </w:r>
    </w:p>
    <w:p>
      <w:pPr>
        <w:pStyle w:val="ListBullet"/>
      </w:pPr>
      <w:r>
        <w:t>The Incident Register shall be reviewed quarterly by the DPO.</w:t>
      </w:r>
    </w:p>
    <w:p>
      <w:pPr>
        <w:pStyle w:val="ListBullet"/>
      </w:pPr>
      <w:r>
        <w:t>Annual audit to ensure compliance with legal and regulatory obligations.</w:t>
      </w:r>
    </w:p>
    <w:p>
      <w:r>
        <w:br/>
      </w:r>
    </w:p>
    <w:p>
      <w:r>
        <w:t xml:space="preserve">**Version:** 1.0  </w:t>
      </w:r>
    </w:p>
    <w:p>
      <w:r>
        <w:t xml:space="preserve">**Effective Date:** 12/06/2024  </w:t>
      </w:r>
    </w:p>
    <w:p>
      <w:r>
        <w:t>**Owner:** Data Protection Officer, CybersecAI.IO Pty Ltd</w:t>
      </w:r>
    </w:p>
    <w:p>
      <w:r>
        <w:br/>
      </w:r>
    </w:p>
    <w:p>
      <w:r>
        <w:t xml:space="preserve">**Source of Data:**  </w:t>
      </w:r>
    </w:p>
    <w:p>
      <w:r>
        <w:t>All detection, risk assessment, and regulatory mapping data referenced above is sourced from the CybersecAI.IO platform, which identified the presence of multiple regulated data types (including full names, dates of birth, addresses, financial account details, credit card numbers, tax file numbers, SSNs, and login credentials) across M365 and SMB environments. The platform's auditor agent rated the overall risk as high and recommended immediate quarantine and notification actions in line with best practice and legal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