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CybersecAI.IO Pty Ltd</w:t>
      </w:r>
    </w:p>
    <w:p>
      <w:pPr>
        <w:pStyle w:val="Heading1"/>
      </w:pPr>
      <w:r>
        <w:t>Internal Communication Protocol: Data Breach Notification &amp; Escalation</w:t>
      </w:r>
    </w:p>
    <w:p>
      <w:r>
        <w:t xml:space="preserve">**Effective Date:** [Insert Date]  </w:t>
      </w:r>
    </w:p>
    <w:p>
      <w:r>
        <w:t xml:space="preserve">**Version:** 1.0  </w:t>
      </w:r>
    </w:p>
    <w:p>
      <w:r>
        <w:t>**Status:** Recommended (Best Practice)</w:t>
      </w:r>
    </w:p>
    <w:p>
      <w:r>
        <w:br/>
      </w:r>
    </w:p>
    <w:p>
      <w:pPr>
        <w:pStyle w:val="Heading2"/>
      </w:pPr>
      <w:r>
        <w:t>1. Purpose</w:t>
      </w:r>
    </w:p>
    <w:p>
      <w:r>
        <w:t>This Protocol establishes clear internal communication and escalation procedures for suspected or confirmed data breaches at CybersecAI.IO Pty Ltd (“the Company”). It supports compliance with the Privacy Act 1988 (Cth), including the Notifiable Data Breaches (NDB) scheme, and ensures timely, accurate, and confidential information flow during breach management.</w:t>
      </w:r>
    </w:p>
    <w:p>
      <w:r>
        <w:t xml:space="preserve">**Expert Note:**  </w:t>
      </w:r>
    </w:p>
    <w:p>
      <w:r>
        <w:t>Recent data classification and risk assessments conducted via the cybersecai.io platform have confirmed that the Company routinely handles multiple categories of highly sensitive and regulated data, including but not limited to: full names, dates of birth, physical addresses, email addresses, phone numbers, financial account details (including credit card numbers and transaction data), tax file numbers, Medicare numbers, and driver’s license numbers. These data types are regulated under the Australian Privacy Act, UK GDPR, PCI DSS, and CCPA/CPRA, with overall risk ratings consistently assessed as “High.” (Source: cybersecai.io platform, M365/SMB risk scans, 2024)</w:t>
      </w:r>
    </w:p>
    <w:p>
      <w:r>
        <w:br/>
      </w:r>
    </w:p>
    <w:p>
      <w:pPr>
        <w:pStyle w:val="Heading2"/>
      </w:pPr>
      <w:r>
        <w:t>2. Scope</w:t>
      </w:r>
    </w:p>
    <w:p>
      <w:r>
        <w:t>This Protocol applies to all employees, contractors, and officers of the Company who may become aware of, or be involved in, a data breach or suspected data breach.</w:t>
      </w:r>
    </w:p>
    <w:p>
      <w:r>
        <w:br/>
      </w:r>
    </w:p>
    <w:p>
      <w:pPr>
        <w:pStyle w:val="Heading2"/>
      </w:pPr>
      <w:r>
        <w:t>3. Definitions</w:t>
      </w:r>
    </w:p>
    <w:p>
      <w:pPr>
        <w:pStyle w:val="ListBullet"/>
      </w:pPr>
      <w:r>
        <w:t>**Data Breach:** Unauthorised access to, disclosure of, or loss of personal information held by the Company (as defined in s 26WE of the Privacy Act 1988 (Cth)).</w:t>
      </w:r>
    </w:p>
    <w:p>
      <w:pPr>
        <w:pStyle w:val="ListBullet"/>
      </w:pPr>
      <w:r>
        <w:t>**Personal Information:** As defined in s 6(1) of the Privacy Act 1988 (Cth), and includes data elements such as full name, address, date of birth, email address, phone number, financial account information, tax file number, Medicare number, and driver’s license number, as detected in recent internal audits (cybersecai.io platform).</w:t>
      </w:r>
    </w:p>
    <w:p>
      <w:pPr>
        <w:pStyle w:val="ListBullet"/>
      </w:pPr>
      <w:r>
        <w:t>**Breach Response Team (BRT):** The designated group responsible for breach assessment and response, including Legal, IT Security, and Executive representatives.</w:t>
      </w:r>
    </w:p>
    <w:p>
      <w:r>
        <w:br/>
      </w:r>
    </w:p>
    <w:p>
      <w:pPr>
        <w:pStyle w:val="Heading2"/>
      </w:pPr>
      <w:r>
        <w:t>4. Responsibilities</w:t>
      </w:r>
    </w:p>
    <w:p>
      <w:pPr>
        <w:pStyle w:val="ListBullet"/>
      </w:pPr>
      <w:r>
        <w:rPr>
          <w:b/>
        </w:rPr>
        <w:t>All Staff:</w:t>
      </w:r>
    </w:p>
    <w:p>
      <w:pPr>
        <w:pStyle w:val="ListBullet2"/>
      </w:pPr>
      <w:r>
        <w:t>Immediately report any suspected or actual data breach in accordance with this Protocol.</w:t>
      </w:r>
    </w:p>
    <w:p>
      <w:pPr>
        <w:pStyle w:val="ListBullet"/>
      </w:pPr>
      <w:r>
        <w:rPr>
          <w:b/>
        </w:rPr>
        <w:t>Line Managers:</w:t>
      </w:r>
    </w:p>
    <w:p>
      <w:pPr>
        <w:pStyle w:val="ListBullet2"/>
      </w:pPr>
      <w:r>
        <w:t>Ensure staff awareness and compliance with this Protocol.</w:t>
      </w:r>
    </w:p>
    <w:p>
      <w:pPr>
        <w:pStyle w:val="ListBullet"/>
      </w:pPr>
      <w:r>
        <w:rPr>
          <w:b/>
        </w:rPr>
        <w:t>Breach Response Team (BRT):</w:t>
      </w:r>
    </w:p>
    <w:p>
      <w:pPr>
        <w:pStyle w:val="ListBullet2"/>
      </w:pPr>
      <w:r>
        <w:t>Lead breach assessment, response, and internal/external communications.</w:t>
      </w:r>
    </w:p>
    <w:p>
      <w:pPr>
        <w:pStyle w:val="ListBullet"/>
      </w:pPr>
      <w:r>
        <w:rPr>
          <w:b/>
        </w:rPr>
        <w:t>Chief Privacy Officer (CPO):</w:t>
      </w:r>
    </w:p>
    <w:p>
      <w:pPr>
        <w:pStyle w:val="ListBullet2"/>
      </w:pPr>
      <w:r>
        <w:t>Oversee compliance with legal obligations and regulatory notifications.</w:t>
      </w:r>
    </w:p>
    <w:p>
      <w:r>
        <w:br/>
      </w:r>
    </w:p>
    <w:p>
      <w:pPr>
        <w:pStyle w:val="Heading2"/>
      </w:pPr>
      <w:r>
        <w:t>5. Internal Notification Procedure</w:t>
      </w:r>
    </w:p>
    <w:p>
      <w:pPr>
        <w:pStyle w:val="Heading3"/>
      </w:pPr>
      <w:r>
        <w:t>5.1 Immediate Reporting</w:t>
      </w:r>
    </w:p>
    <w:p>
      <w:pPr>
        <w:pStyle w:val="ListBullet"/>
      </w:pPr>
      <w:r>
        <w:t>**Trigger:** Any staff member who becomes aware of a suspected or actual data breach must, **within 30 minutes**, notify the BRT via the dedicated breach reporting channel:</w:t>
      </w:r>
    </w:p>
    <w:p>
      <w:pPr>
        <w:pStyle w:val="ListBullet"/>
      </w:pPr>
      <w:r>
        <w:t>**Email:** breach@cybersecai.io</w:t>
      </w:r>
    </w:p>
    <w:p>
      <w:pPr>
        <w:pStyle w:val="ListBullet"/>
      </w:pPr>
      <w:r>
        <w:t>**Phone:** [Insert 24/7 Incident Hotline]</w:t>
      </w:r>
    </w:p>
    <w:p>
      <w:pPr>
        <w:pStyle w:val="ListBullet"/>
      </w:pPr>
      <w:r>
        <w:rPr>
          <w:b/>
        </w:rPr>
        <w:t>Information to Provide:</w:t>
      </w:r>
    </w:p>
    <w:p>
      <w:pPr>
        <w:pStyle w:val="ListBullet2"/>
      </w:pPr>
      <w:r>
        <w:t>Date/time of incident discovery</w:t>
      </w:r>
    </w:p>
    <w:p>
      <w:pPr>
        <w:pStyle w:val="ListBullet2"/>
      </w:pPr>
      <w:r>
        <w:t>Description of the incident</w:t>
      </w:r>
    </w:p>
    <w:p>
      <w:pPr>
        <w:pStyle w:val="ListBullet2"/>
      </w:pPr>
      <w:r>
        <w:t>Systems/data involved (with specific reference to any regulated data types, e.g., credit card numbers, tax file numbers, Medicare numbers, as highlighted by cybersecai.io platform scans)</w:t>
      </w:r>
    </w:p>
    <w:p>
      <w:pPr>
        <w:pStyle w:val="ListBullet2"/>
      </w:pPr>
      <w:r>
        <w:t>Known or suspected cause</w:t>
      </w:r>
    </w:p>
    <w:p>
      <w:pPr>
        <w:pStyle w:val="ListBullet2"/>
      </w:pPr>
      <w:r>
        <w:t>Any immediate actions taken</w:t>
      </w:r>
    </w:p>
    <w:p>
      <w:pPr>
        <w:pStyle w:val="Heading3"/>
      </w:pPr>
      <w:r>
        <w:t>5.2 Acknowledgement</w:t>
      </w:r>
    </w:p>
    <w:p>
      <w:pPr>
        <w:pStyle w:val="ListBullet"/>
      </w:pPr>
      <w:r>
        <w:t>The BRT must acknowledge receipt of the report within **1 hour**.</w:t>
      </w:r>
    </w:p>
    <w:p>
      <w:r>
        <w:br/>
      </w:r>
    </w:p>
    <w:p>
      <w:pPr>
        <w:pStyle w:val="Heading2"/>
      </w:pPr>
      <w:r>
        <w:t>6. Escalation Procedure</w:t>
      </w:r>
    </w:p>
    <w:p>
      <w:pPr>
        <w:pStyle w:val="Heading3"/>
      </w:pPr>
      <w:r>
        <w:t>6.1 Initial Assessment</w:t>
      </w:r>
    </w:p>
    <w:p>
      <w:pPr>
        <w:pStyle w:val="ListBullet"/>
      </w:pPr>
      <w:r>
        <w:t>The BRT will conduct a preliminary assessment within **2 hours** of notification to determine:</w:t>
      </w:r>
    </w:p>
    <w:p>
      <w:pPr>
        <w:pStyle w:val="ListBullet"/>
      </w:pPr>
      <w:r>
        <w:t>Nature and scope of the breach</w:t>
      </w:r>
    </w:p>
    <w:p>
      <w:pPr>
        <w:pStyle w:val="ListBullet"/>
      </w:pPr>
      <w:r>
        <w:t>Potential impact (including whether personal information is involved, with reference to the specific regulated data types identified in cybersecai.io platform risk scans)</w:t>
      </w:r>
    </w:p>
    <w:p>
      <w:pPr>
        <w:pStyle w:val="ListBullet"/>
      </w:pPr>
      <w:r>
        <w:t>Immediate containment actions required</w:t>
      </w:r>
    </w:p>
    <w:p>
      <w:pPr>
        <w:pStyle w:val="Heading3"/>
      </w:pPr>
      <w:r>
        <w:t>6.2 Escalation Triggers</w:t>
      </w:r>
    </w:p>
    <w:p>
      <w:pPr>
        <w:pStyle w:val="ListBullet"/>
      </w:pPr>
      <w:r>
        <w:t>**Immediate escalation to the CPO and CEO** is required if:</w:t>
      </w:r>
    </w:p>
    <w:p>
      <w:pPr>
        <w:pStyle w:val="ListBullet"/>
      </w:pPr>
      <w:r>
        <w:t>The breach is likely to result in serious harm to individuals (as per s 26WG, Privacy Act), especially where highly sensitive data such as credit card numbers, tax file numbers, Medicare numbers, or authentication credentials are involved (see cybersecai.io risk findings)</w:t>
      </w:r>
    </w:p>
    <w:p>
      <w:pPr>
        <w:pStyle w:val="ListBullet"/>
      </w:pPr>
      <w:r>
        <w:t>There is evidence of criminal activity or significant business impact</w:t>
      </w:r>
    </w:p>
    <w:p>
      <w:pPr>
        <w:pStyle w:val="ListBullet"/>
      </w:pPr>
      <w:r>
        <w:t>Regulatory notification may be required</w:t>
      </w:r>
    </w:p>
    <w:p>
      <w:pPr>
        <w:pStyle w:val="Heading3"/>
      </w:pPr>
      <w:r>
        <w:t>6.3 Ongoing Communication</w:t>
      </w:r>
    </w:p>
    <w:p>
      <w:pPr>
        <w:pStyle w:val="ListBullet"/>
      </w:pPr>
      <w:r>
        <w:t>The BRT will provide regular updates (at least every 4 hours) to relevant stakeholders, including:</w:t>
      </w:r>
    </w:p>
    <w:p>
      <w:pPr>
        <w:pStyle w:val="ListBullet"/>
      </w:pPr>
      <w:r>
        <w:t>Executive Management</w:t>
      </w:r>
    </w:p>
    <w:p>
      <w:pPr>
        <w:pStyle w:val="ListBullet"/>
      </w:pPr>
      <w:r>
        <w:t>Legal Counsel</w:t>
      </w:r>
    </w:p>
    <w:p>
      <w:pPr>
        <w:pStyle w:val="ListBullet"/>
      </w:pPr>
      <w:r>
        <w:t>IT Security</w:t>
      </w:r>
    </w:p>
    <w:p>
      <w:pPr>
        <w:pStyle w:val="ListBullet"/>
      </w:pPr>
      <w:r>
        <w:t>Communications/PR (if public disclosure is contemplated)</w:t>
      </w:r>
    </w:p>
    <w:p>
      <w:r>
        <w:br/>
      </w:r>
    </w:p>
    <w:p>
      <w:pPr>
        <w:pStyle w:val="Heading2"/>
      </w:pPr>
      <w:r>
        <w:t>7. Documentation &amp; Record-Keeping</w:t>
      </w:r>
    </w:p>
    <w:p>
      <w:pPr>
        <w:pStyle w:val="ListBullet"/>
      </w:pPr>
      <w:r>
        <w:t>All communications, decisions, and actions taken must be documented and retained in accordance with the Company’s Record Management Policy and s 26WL of the Privacy Act.</w:t>
      </w:r>
    </w:p>
    <w:p>
      <w:pPr>
        <w:pStyle w:val="ListBullet"/>
      </w:pPr>
      <w:r>
        <w:t>Documentation must include explicit reference to the types of regulated data involved, as detected by the cybersecai.io platform (e.g., credit card numbers, tax file numbers, Medicare numbers, driver’s license numbers, etc.), to support compliance with multi-jurisdictional regulatory obligations (Australian Privacy Act, UK GDPR, PCI DSS, CCPA/CPRA).</w:t>
      </w:r>
    </w:p>
    <w:p>
      <w:r>
        <w:br/>
      </w:r>
    </w:p>
    <w:p>
      <w:pPr>
        <w:pStyle w:val="Heading2"/>
      </w:pPr>
      <w:r>
        <w:t>8. Confidentiality</w:t>
      </w:r>
    </w:p>
    <w:p>
      <w:pPr>
        <w:pStyle w:val="ListBullet"/>
      </w:pPr>
      <w:r>
        <w:t>All information relating to a data breach must be treated as strictly confidential and only disclosed internally on a need-to-know basis.</w:t>
      </w:r>
    </w:p>
    <w:p>
      <w:pPr>
        <w:pStyle w:val="ListBullet"/>
      </w:pPr>
      <w:r>
        <w:t>Given the high risk and sensitivity of the data types routinely processed by the Company (see cybersecai.io platform reports), any unauthorised disclosure may itself constitute a notifiable breach.</w:t>
      </w:r>
    </w:p>
    <w:p>
      <w:r>
        <w:br/>
      </w:r>
    </w:p>
    <w:p>
      <w:pPr>
        <w:pStyle w:val="Heading2"/>
      </w:pPr>
      <w:r>
        <w:t>9. Regulatory Cross-References</w:t>
      </w:r>
    </w:p>
    <w:p>
      <w:pPr>
        <w:pStyle w:val="ListBullet"/>
      </w:pPr>
      <w:r>
        <w:rPr>
          <w:b/>
        </w:rPr>
        <w:t>Privacy Act 1988 (Cth)</w:t>
      </w:r>
    </w:p>
    <w:p>
      <w:pPr>
        <w:pStyle w:val="ListBullet2"/>
      </w:pPr>
      <w:r>
        <w:t>s 26WE: Meaning of eligible data breach</w:t>
      </w:r>
    </w:p>
    <w:p>
      <w:pPr>
        <w:pStyle w:val="ListBullet2"/>
      </w:pPr>
      <w:r>
        <w:t>s 26WG: Assessment of suspected eligible data breach</w:t>
      </w:r>
    </w:p>
    <w:p>
      <w:pPr>
        <w:pStyle w:val="ListBullet2"/>
      </w:pPr>
      <w:r>
        <w:t>s 26WL: Requirement to keep records of breaches not notified</w:t>
      </w:r>
    </w:p>
    <w:p>
      <w:pPr>
        <w:pStyle w:val="ListBullet"/>
      </w:pPr>
      <w:r>
        <w:t>**OAIC Guidance:** Notifiable Data Breaches scheme</w:t>
      </w:r>
    </w:p>
    <w:p>
      <w:pPr>
        <w:pStyle w:val="ListBullet"/>
      </w:pPr>
      <w:r>
        <w:t>**UK GDPR &amp; EU GDPR:** Regulates processing of personal data including names, addresses, dates of birth, email addresses, and financial data.</w:t>
      </w:r>
    </w:p>
    <w:p>
      <w:pPr>
        <w:pStyle w:val="ListBullet"/>
      </w:pPr>
      <w:r>
        <w:t>**PCI DSS:** Applies to all payment card data, including credit card numbers, cardholder names, CVV/CVC, and billing addresses.</w:t>
      </w:r>
    </w:p>
    <w:p>
      <w:pPr>
        <w:pStyle w:val="ListBullet"/>
      </w:pPr>
      <w:r>
        <w:t>**CCPA/CPRA:** Regulates personal data of California residents, including Social Security Numbers (SSN) and other identifiers.</w:t>
      </w:r>
    </w:p>
    <w:p>
      <w:pPr>
        <w:pStyle w:val="ListBullet"/>
      </w:pPr>
      <w:r>
        <w:t>**cybersecai.io platform:** Source of current internal data risk assessments and regulated data field identification.</w:t>
      </w:r>
    </w:p>
    <w:p>
      <w:r>
        <w:br/>
      </w:r>
    </w:p>
    <w:p>
      <w:pPr>
        <w:pStyle w:val="Heading2"/>
      </w:pPr>
      <w:r>
        <w:t>10. Review</w:t>
      </w:r>
    </w:p>
    <w:p>
      <w:r>
        <w:t>This Protocol will be reviewed annually or following any significant data breach or regulatory change.</w:t>
      </w:r>
    </w:p>
    <w:p>
      <w:r>
        <w:br/>
      </w:r>
    </w:p>
    <w:p>
      <w:r>
        <w:t xml:space="preserve">**Approved by:** [Name, Title]  </w:t>
      </w:r>
    </w:p>
    <w:p>
      <w:r>
        <w:t>**Date:** [Insert Date]</w:t>
      </w:r>
    </w:p>
    <w:p>
      <w:r>
        <w:br/>
      </w:r>
    </w:p>
    <w:p>
      <w:r>
        <w:t>**Appendix: Data Risk Summary (Source: cybersecai.io platform, 2024)**</w:t>
      </w:r>
    </w:p>
    <w:p>
      <w:pPr>
        <w:pStyle w:val="ListBullet"/>
      </w:pPr>
      <w:r>
        <w:rPr>
          <w:b/>
        </w:rPr>
        <w:t>Detected Regulated Data Fields:</w:t>
      </w:r>
    </w:p>
    <w:p>
      <w:pPr>
        <w:pStyle w:val="ListBullet2"/>
      </w:pPr>
      <w:r>
        <w:t>Full Name, Date of Birth, Address, Email Address, Phone Number, Financial Account Details, Credit Card Number, Tax File Number, Medicare Number, Driver’s License Number, Social Security Number (SSN), Login Credentials, Payroll/Remuneration, Payment Receipts, Transaction Amounts.</w:t>
      </w:r>
    </w:p>
    <w:p>
      <w:pPr>
        <w:pStyle w:val="ListBullet"/>
      </w:pPr>
      <w:r>
        <w:rPr>
          <w:b/>
        </w:rPr>
        <w:t>Regulatory Standards Triggered:</w:t>
      </w:r>
    </w:p>
    <w:p>
      <w:pPr>
        <w:pStyle w:val="ListBullet2"/>
      </w:pPr>
      <w:r>
        <w:t>Australian Privacy Act, UK GDPR, PCI DSS, CCPA/CPRA.</w:t>
      </w:r>
    </w:p>
    <w:p>
      <w:pPr>
        <w:pStyle w:val="ListBullet"/>
      </w:pPr>
      <w:r>
        <w:rPr>
          <w:b/>
        </w:rPr>
        <w:t>Overall Risk Rating:</w:t>
      </w:r>
    </w:p>
    <w:p>
      <w:pPr>
        <w:pStyle w:val="ListBullet"/>
      </w:pPr>
      <w:r>
        <w:t>**High** (per cybersecai.io platform risk scans, M365/SMB data sources)</w:t>
      </w:r>
    </w:p>
    <w:p>
      <w:pPr>
        <w:pStyle w:val="ListBullet"/>
      </w:pPr>
      <w:r>
        <w:rPr>
          <w:b/>
        </w:rPr>
        <w:t>Auditor Proposed Action:</w:t>
      </w:r>
    </w:p>
    <w:p>
      <w:pPr>
        <w:pStyle w:val="ListBullet2"/>
      </w:pPr>
      <w:r>
        <w:t>Quarantine affected files and notify data owner for immediate review.</w:t>
      </w:r>
    </w:p>
    <w:p>
      <w:r>
        <w:t>*This document incorporates expert findings and recommendations based on live data risk intelligence from the cybersecai.io platform. All staff are required to treat the presence of these regulated data types as a trigger for heightened vigilance and immediate escalation in the event of any suspected or actual data breach.*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