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Oxford University Post-Incident Review Procedure</w:t>
      </w:r>
    </w:p>
    <w:p>
      <w:r>
        <w:t xml:space="preserve">**Purpose:**  </w:t>
      </w:r>
    </w:p>
    <w:p>
      <w:r>
        <w:t>To ensure that all data breach incidents are systematically reviewed, lessons are learned, and necessary improvements are implemented, in accordance with the UK GDPR accountability principle and best practice.</w:t>
      </w:r>
    </w:p>
    <w:p>
      <w:r>
        <w:br/>
      </w:r>
    </w:p>
    <w:p>
      <w:pPr>
        <w:pStyle w:val="Heading1"/>
      </w:pPr>
      <w:r>
        <w:t>1. Scope</w:t>
      </w:r>
    </w:p>
    <w:p>
      <w:r>
        <w:t>This procedure applies to all data breach incidents involving personal data processed by or on behalf of Oxford University, regardless of severity or reportability.</w:t>
      </w:r>
    </w:p>
    <w:p>
      <w:r>
        <w:t xml:space="preserve">**Expert Note:**  </w:t>
      </w:r>
    </w:p>
    <w:p>
      <w:r>
        <w:t>Recent data analysis from the cybersecai.io platform confirms that incidents may involve a wide array of highly sensitive and regulated data fields, including but not limited to full names, dates of birth, physical addresses, email addresses, phone numbers, financial account details, credit card numbers, tax identifiers, and health information. The presence of such data types increases the risk profile and regulatory obligations under UK GDPR, the Australian Privacy Act, PCI DSS, and CCPA/CPRA.</w:t>
      </w:r>
    </w:p>
    <w:p>
      <w:r>
        <w:br/>
      </w:r>
    </w:p>
    <w:p>
      <w:pPr>
        <w:pStyle w:val="Heading1"/>
      </w:pPr>
      <w:r>
        <w:t>2. Responsibilities</w:t>
      </w:r>
    </w:p>
    <w:p>
      <w:pPr>
        <w:pStyle w:val="ListBullet"/>
      </w:pPr>
      <w:r>
        <w:rPr>
          <w:b/>
        </w:rPr>
        <w:t>Data Protection Officer (DPO):</w:t>
      </w:r>
    </w:p>
    <w:p>
      <w:r>
        <w:t xml:space="preserve">  Oversees the review process, ensures compliance with legal and regulatory obligations, and reports findings to senior management.</w:t>
      </w:r>
    </w:p>
    <w:p>
      <w:pPr>
        <w:pStyle w:val="ListBullet"/>
      </w:pPr>
      <w:r>
        <w:rPr>
          <w:b/>
        </w:rPr>
        <w:t>Incident Response Team (IRT):</w:t>
      </w:r>
    </w:p>
    <w:p>
      <w:r>
        <w:t xml:space="preserve">  Provides incident documentation, participates in the review, and implements agreed actions.</w:t>
      </w:r>
    </w:p>
    <w:p>
      <w:pPr>
        <w:pStyle w:val="ListBullet"/>
      </w:pPr>
      <w:r>
        <w:rPr>
          <w:b/>
        </w:rPr>
        <w:t>Relevant Department Heads:</w:t>
      </w:r>
    </w:p>
    <w:p>
      <w:r>
        <w:t xml:space="preserve">  Ensure departmental cooperation and implementation of recommendations.</w:t>
      </w:r>
    </w:p>
    <w:p>
      <w:pPr>
        <w:pStyle w:val="ListBullet"/>
      </w:pPr>
      <w:r>
        <w:rPr>
          <w:b/>
        </w:rPr>
        <w:t>IT Security Manager:</w:t>
      </w:r>
    </w:p>
    <w:p>
      <w:r>
        <w:t xml:space="preserve">  Advises on technical controls and remediation.</w:t>
      </w:r>
    </w:p>
    <w:p>
      <w:r>
        <w:br/>
      </w:r>
    </w:p>
    <w:p>
      <w:pPr>
        <w:pStyle w:val="Heading1"/>
      </w:pPr>
      <w:r>
        <w:t>3. Procedure</w:t>
      </w:r>
    </w:p>
    <w:p>
      <w:pPr>
        <w:pStyle w:val="Heading2"/>
      </w:pPr>
      <w:r>
        <w:t>3.1. Initiation of Review</w:t>
      </w:r>
    </w:p>
    <w:p>
      <w:pPr>
        <w:pStyle w:val="ListBullet"/>
      </w:pPr>
      <w:r>
        <w:t>The DPO shall initiate a post-incident review within 10 working days of incident closure.</w:t>
      </w:r>
    </w:p>
    <w:p>
      <w:pPr>
        <w:pStyle w:val="ListBullet"/>
      </w:pPr>
      <w:r>
        <w:t>The review shall be documented and retained in accordance with the University’s record-keeping policies.</w:t>
      </w:r>
    </w:p>
    <w:p>
      <w:pPr>
        <w:pStyle w:val="Heading2"/>
      </w:pPr>
      <w:r>
        <w:t>3.2. Review Meeting</w:t>
      </w:r>
    </w:p>
    <w:p>
      <w:pPr>
        <w:pStyle w:val="ListBullet"/>
      </w:pPr>
      <w:r>
        <w:t>Convene a meeting with the DPO, IRT, IT Security Manager, and relevant Department Heads.</w:t>
      </w:r>
    </w:p>
    <w:p>
      <w:pPr>
        <w:pStyle w:val="ListBullet"/>
      </w:pPr>
      <w:r>
        <w:t>Review the following:</w:t>
      </w:r>
    </w:p>
    <w:p>
      <w:pPr>
        <w:pStyle w:val="ListBullet"/>
      </w:pPr>
      <w:r>
        <w:t>Chronology of the incident</w:t>
      </w:r>
    </w:p>
    <w:p>
      <w:pPr>
        <w:pStyle w:val="ListBullet"/>
      </w:pPr>
      <w:r>
        <w:t>Root cause analysis</w:t>
      </w:r>
    </w:p>
    <w:p>
      <w:pPr>
        <w:pStyle w:val="ListBullet"/>
      </w:pPr>
      <w:r>
        <w:t>Effectiveness of the response</w:t>
      </w:r>
    </w:p>
    <w:p>
      <w:pPr>
        <w:pStyle w:val="ListBullet"/>
      </w:pPr>
      <w:r>
        <w:t>Communication (internal and external, including regulatory notifications)</w:t>
      </w:r>
    </w:p>
    <w:p>
      <w:pPr>
        <w:pStyle w:val="ListBullet"/>
      </w:pPr>
      <w:r>
        <w:t>Impact assessment (including risks to data subjects)</w:t>
      </w:r>
    </w:p>
    <w:p>
      <w:r>
        <w:t xml:space="preserve">**Expert Note:**  </w:t>
      </w:r>
    </w:p>
    <w:p>
      <w:r>
        <w:t>According to cybersecai.io platform findings, recent incidents have included exposure of the following regulated data fields:</w:t>
      </w:r>
    </w:p>
    <w:p>
      <w:pPr>
        <w:pStyle w:val="ListBullet"/>
      </w:pPr>
      <w:r>
        <w:t>UK GDPR: Full Name, Date of Birth, Address, Email Address, Phone Number, Financial Assets, Login Credentials, Tax ID</w:t>
      </w:r>
    </w:p>
    <w:p>
      <w:pPr>
        <w:pStyle w:val="ListBullet"/>
      </w:pPr>
      <w:r>
        <w:t>Australian Privacy Act: Full Name, Date of Birth, Address, Email Address, Phone Number, Driver’s License, Tax File Number, Medicare Number, Financial Account, Payroll/Remuneration</w:t>
      </w:r>
    </w:p>
    <w:p>
      <w:pPr>
        <w:pStyle w:val="ListBullet"/>
      </w:pPr>
      <w:r>
        <w:t>PCI DSS: Cardholder Name, PAN (Credit Card Number), Expiration Date, CVV/CVC, Billing Address, Customer Email, Customer Phone, Transaction Amount, Payment Receipts</w:t>
      </w:r>
    </w:p>
    <w:p>
      <w:pPr>
        <w:pStyle w:val="ListBullet"/>
      </w:pPr>
      <w:r>
        <w:t>CCPA/CPRA: Social Security Number (SSN)</w:t>
      </w:r>
    </w:p>
    <w:p>
      <w:r>
        <w:t>The presence of such data significantly elevates the risk of harm to data subjects and increases the likelihood of regulatory scrutiny.</w:t>
      </w:r>
    </w:p>
    <w:p>
      <w:pPr>
        <w:pStyle w:val="Heading2"/>
      </w:pPr>
      <w:r>
        <w:t>3.3. Lessons Learned</w:t>
      </w:r>
    </w:p>
    <w:p>
      <w:pPr>
        <w:pStyle w:val="ListBullet"/>
      </w:pPr>
      <w:r>
        <w:t>Identify:</w:t>
      </w:r>
    </w:p>
    <w:p>
      <w:pPr>
        <w:pStyle w:val="ListBullet"/>
      </w:pPr>
      <w:r>
        <w:t>What worked well</w:t>
      </w:r>
    </w:p>
    <w:p>
      <w:pPr>
        <w:pStyle w:val="ListBullet"/>
      </w:pPr>
      <w:r>
        <w:t>Areas for improvement</w:t>
      </w:r>
    </w:p>
    <w:p>
      <w:pPr>
        <w:pStyle w:val="ListBullet"/>
      </w:pPr>
      <w:r>
        <w:t>Gaps in policies, procedures, or controls</w:t>
      </w:r>
    </w:p>
    <w:p>
      <w:pPr>
        <w:pStyle w:val="Heading2"/>
      </w:pPr>
      <w:r>
        <w:t>3.4. Recommendations and Action Plan</w:t>
      </w:r>
    </w:p>
    <w:p>
      <w:pPr>
        <w:pStyle w:val="ListBullet"/>
      </w:pPr>
      <w:r>
        <w:t>Develop specific, measurable actions to address identified gaps.</w:t>
      </w:r>
    </w:p>
    <w:p>
      <w:pPr>
        <w:pStyle w:val="ListBullet"/>
      </w:pPr>
      <w:r>
        <w:t>Assign responsibilities and deadlines for each action.</w:t>
      </w:r>
    </w:p>
    <w:p>
      <w:pPr>
        <w:pStyle w:val="ListBullet"/>
      </w:pPr>
      <w:r>
        <w:t>Ensure actions are tracked to completion.</w:t>
      </w:r>
    </w:p>
    <w:p>
      <w:r>
        <w:t xml:space="preserve">**Expert Note:**  </w:t>
      </w:r>
    </w:p>
    <w:p>
      <w:r>
        <w:t>The cybersecai.io platform auditor agent has repeatedly recommended immediate quarantine of affected files and prompt notification of data owners in cases where high-risk regulated data (such as credit card numbers, tax identifiers, and health information) has been exposed. Action plans should prioritize containment, notification, and remediation in accordance with these recommendations.</w:t>
      </w:r>
    </w:p>
    <w:p>
      <w:pPr>
        <w:pStyle w:val="Heading2"/>
      </w:pPr>
      <w:r>
        <w:t>3.5. Policy and Control Updates</w:t>
      </w:r>
    </w:p>
    <w:p>
      <w:pPr>
        <w:pStyle w:val="ListBullet"/>
      </w:pPr>
      <w:r>
        <w:t>Update relevant policies, procedures, and technical controls as required.</w:t>
      </w:r>
    </w:p>
    <w:p>
      <w:pPr>
        <w:pStyle w:val="ListBullet"/>
      </w:pPr>
      <w:r>
        <w:t>Communicate changes to all affected staff and provide training if necessary.</w:t>
      </w:r>
    </w:p>
    <w:p>
      <w:r>
        <w:t xml:space="preserve">**Expert Note:**  </w:t>
      </w:r>
    </w:p>
    <w:p>
      <w:r>
        <w:t>Given the high-risk nature of recent incidents (as rated by cybersecai.io), policy updates should specifically address:</w:t>
      </w:r>
    </w:p>
    <w:p>
      <w:pPr>
        <w:pStyle w:val="ListBullet"/>
      </w:pPr>
      <w:r>
        <w:t>Enhanced access controls and monitoring for regulated data fields</w:t>
      </w:r>
    </w:p>
    <w:p>
      <w:pPr>
        <w:pStyle w:val="ListBullet"/>
      </w:pPr>
      <w:r>
        <w:t>Mandatory encryption for storage and transmission of sensitive data</w:t>
      </w:r>
    </w:p>
    <w:p>
      <w:pPr>
        <w:pStyle w:val="ListBullet"/>
      </w:pPr>
      <w:r>
        <w:t>Regular staff training on handling of high-risk data types</w:t>
      </w:r>
    </w:p>
    <w:p>
      <w:pPr>
        <w:pStyle w:val="ListBullet"/>
      </w:pPr>
      <w:r>
        <w:t>Immediate quarantine and review procedures for files containing regulated data</w:t>
      </w:r>
    </w:p>
    <w:p>
      <w:pPr>
        <w:pStyle w:val="Heading2"/>
      </w:pPr>
      <w:r>
        <w:t>3.6. Reporting and Record-Keeping</w:t>
      </w:r>
    </w:p>
    <w:p>
      <w:pPr>
        <w:pStyle w:val="ListBullet"/>
      </w:pPr>
      <w:r>
        <w:t>Prepare a written Post-Incident Review Report, including:</w:t>
      </w:r>
    </w:p>
    <w:p>
      <w:pPr>
        <w:pStyle w:val="ListBullet"/>
      </w:pPr>
      <w:r>
        <w:t>Summary of findings</w:t>
      </w:r>
    </w:p>
    <w:p>
      <w:pPr>
        <w:pStyle w:val="ListBullet"/>
      </w:pPr>
      <w:r>
        <w:t>Action plan and status</w:t>
      </w:r>
    </w:p>
    <w:p>
      <w:pPr>
        <w:pStyle w:val="ListBullet"/>
      </w:pPr>
      <w:r>
        <w:t>Any regulatory notifications made</w:t>
      </w:r>
    </w:p>
    <w:p>
      <w:pPr>
        <w:pStyle w:val="ListBullet"/>
      </w:pPr>
      <w:r>
        <w:t>Submit the report to the University’s Information Governance Board and retain for a minimum of six years.</w:t>
      </w:r>
    </w:p>
    <w:p>
      <w:r>
        <w:t xml:space="preserve">**Expert Note:**  </w:t>
      </w:r>
    </w:p>
    <w:p>
      <w:r>
        <w:t>Retention of incident review documentation is critical for demonstrating compliance with UK GDPR Article 33(5) and other applicable regulations. The cybersecai.io platform emphasizes the importance of documenting the presence of regulated data fields and the steps taken in response.</w:t>
      </w:r>
    </w:p>
    <w:p>
      <w:r>
        <w:br/>
      </w:r>
    </w:p>
    <w:p>
      <w:pPr>
        <w:pStyle w:val="Heading1"/>
      </w:pPr>
      <w:r>
        <w:t>4. Regulatory References</w:t>
      </w:r>
    </w:p>
    <w:p>
      <w:pPr>
        <w:pStyle w:val="ListBullet"/>
      </w:pPr>
      <w:r>
        <w:t>**UK GDPR Article 5(2):** Accountability Principle – requires demonstration of compliance.</w:t>
      </w:r>
    </w:p>
    <w:p>
      <w:pPr>
        <w:pStyle w:val="ListBullet"/>
      </w:pPr>
      <w:r>
        <w:t>**UK GDPR Article 33(5):** Obligation to document personal data breaches, including facts, effects, and remedial actions.</w:t>
      </w:r>
    </w:p>
    <w:p>
      <w:pPr>
        <w:pStyle w:val="ListBullet"/>
      </w:pPr>
      <w:r>
        <w:t>**Australian Privacy Act:** Regulates handling of personal information, including TFNs, Medicare numbers, and financial data.</w:t>
      </w:r>
    </w:p>
    <w:p>
      <w:pPr>
        <w:pStyle w:val="ListBullet"/>
      </w:pPr>
      <w:r>
        <w:t>**PCI DSS:** Mandates security controls for payment card data.</w:t>
      </w:r>
    </w:p>
    <w:p>
      <w:pPr>
        <w:pStyle w:val="ListBullet"/>
      </w:pPr>
      <w:r>
        <w:t>**CCPA/CPRA:** Regulates handling of personal data, including SSNs, for California residents.</w:t>
      </w:r>
    </w:p>
    <w:p>
      <w:pPr>
        <w:pStyle w:val="ListBullet"/>
      </w:pPr>
      <w:r>
        <w:t>**ICO Guidance:** Recommends post-incident reviews as best practice for continuous improvement.</w:t>
      </w:r>
    </w:p>
    <w:p>
      <w:r>
        <w:t xml:space="preserve">**Expert Note:**  </w:t>
      </w:r>
    </w:p>
    <w:p>
      <w:r>
        <w:t>The cybersecai.io platform has detected high-risk regulated data fields across all major privacy regimes, underscoring the need for a robust, multi-jurisdictional compliance approach.</w:t>
      </w:r>
    </w:p>
    <w:p>
      <w:r>
        <w:br/>
      </w:r>
    </w:p>
    <w:p>
      <w:pPr>
        <w:pStyle w:val="Heading1"/>
      </w:pPr>
      <w:r>
        <w:t>5. Review of this Procedure</w:t>
      </w:r>
    </w:p>
    <w:p>
      <w:r>
        <w:t>This procedure shall be reviewed annually by the DPO, or sooner if required by changes in law, regulation, or University practice.</w:t>
      </w:r>
    </w:p>
    <w:p>
      <w:r>
        <w:br/>
      </w:r>
    </w:p>
    <w:p>
      <w:r>
        <w:t xml:space="preserve">*Approved by: [Insert Approval Authority]*  </w:t>
      </w:r>
    </w:p>
    <w:p>
      <w:r>
        <w:t xml:space="preserve">*Effective Date: [Insert Date]*  </w:t>
      </w:r>
    </w:p>
    <w:p>
      <w:r>
        <w:t>*Next Review Date: [Insert Date]*</w:t>
      </w:r>
    </w:p>
    <w:p>
      <w:r>
        <w:br/>
      </w:r>
    </w:p>
    <w:p>
      <w:r>
        <w:t xml:space="preserve">**Source of Data Analysis:** cybersecai.io platform  </w:t>
      </w:r>
    </w:p>
    <w:p>
      <w:r>
        <w:t>*This document incorporates risk and compliance findings based on automated data discovery and audit results from cybersecai.io, including detection of high-risk regulated data fields and auditor recommendations for incident response and remediation.*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