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CybersecAI.IO Pty Ltd</w:t>
      </w:r>
    </w:p>
    <w:p>
      <w:pPr>
        <w:pStyle w:val="Heading1"/>
      </w:pPr>
      <w:r>
        <w:t>Post-Incident Review and Improvement Procedure</w:t>
      </w:r>
    </w:p>
    <w:p>
      <w:r>
        <w:t xml:space="preserve">**Document Owner:** Chief Information Security Officer (CISO)  </w:t>
      </w:r>
    </w:p>
    <w:p>
      <w:r>
        <w:t xml:space="preserve">**Version:** 1.0  </w:t>
      </w:r>
    </w:p>
    <w:p>
      <w:r>
        <w:t xml:space="preserve">**Effective Date:** [Insert Date]  </w:t>
      </w:r>
    </w:p>
    <w:p>
      <w:r>
        <w:t>**Review Date:** [Insert Date]</w:t>
      </w:r>
    </w:p>
    <w:p>
      <w:r>
        <w:br/>
      </w:r>
    </w:p>
    <w:p>
      <w:pPr>
        <w:pStyle w:val="Heading2"/>
      </w:pPr>
      <w:r>
        <w:t>1. Purpose</w:t>
      </w:r>
    </w:p>
    <w:p>
      <w:r>
        <w:t>This Procedure establishes a structured process for reviewing data breach incidents and implementing improvements to prevent recurrence. It aligns with the Office of the Australian Information Commissioner (OAIC) guidance and supports CybersecAI.IO Pty Ltd’s commitment to continuous improvement in information security and privacy management.</w:t>
      </w:r>
    </w:p>
    <w:p>
      <w:r>
        <w:br/>
      </w:r>
    </w:p>
    <w:p>
      <w:pPr>
        <w:pStyle w:val="Heading2"/>
      </w:pPr>
      <w:r>
        <w:t>2. Scope</w:t>
      </w:r>
    </w:p>
    <w:p>
      <w:r>
        <w:t>This Procedure applies to all data breach incidents involving personal information held by CybersecAI.IO Pty Ltd, including actual, suspected, or near-miss breaches, regardless of scale or impact.</w:t>
      </w:r>
    </w:p>
    <w:p>
      <w:r>
        <w:br/>
      </w:r>
    </w:p>
    <w:p>
      <w:pPr>
        <w:pStyle w:val="Heading2"/>
      </w:pPr>
      <w:r>
        <w:t>3. Responsibilities</w:t>
      </w:r>
    </w:p>
    <w:p>
      <w:pPr>
        <w:pStyle w:val="ListBullet"/>
      </w:pPr>
      <w:r>
        <w:t>**CISO:** Overall responsibility for the post-incident review process and reporting to executive management.</w:t>
      </w:r>
    </w:p>
    <w:p>
      <w:pPr>
        <w:pStyle w:val="ListBullet"/>
      </w:pPr>
      <w:r>
        <w:t>**Incident Response Team (IRT):** Conducts the review, documents findings, and recommends improvements.</w:t>
      </w:r>
    </w:p>
    <w:p>
      <w:pPr>
        <w:pStyle w:val="ListBullet"/>
      </w:pPr>
      <w:r>
        <w:t>**Legal Counsel:** Ensures compliance with regulatory obligations and provides legal oversight.</w:t>
      </w:r>
    </w:p>
    <w:p>
      <w:pPr>
        <w:pStyle w:val="ListBullet"/>
      </w:pPr>
      <w:r>
        <w:t>**IT &amp; Security Teams:** Implements technical and procedural improvements.</w:t>
      </w:r>
    </w:p>
    <w:p>
      <w:pPr>
        <w:pStyle w:val="ListBullet"/>
      </w:pPr>
      <w:r>
        <w:t>**HR &amp; Training:** Coordinates staff awareness and training updates as required.</w:t>
      </w:r>
    </w:p>
    <w:p>
      <w:r>
        <w:br/>
      </w:r>
    </w:p>
    <w:p>
      <w:pPr>
        <w:pStyle w:val="Heading2"/>
      </w:pPr>
      <w:r>
        <w:t>4. Procedure</w:t>
      </w:r>
    </w:p>
    <w:p>
      <w:pPr>
        <w:pStyle w:val="Heading3"/>
      </w:pPr>
      <w:r>
        <w:t>4.1. Initiation of Post-Incident Review</w:t>
      </w:r>
    </w:p>
    <w:p>
      <w:pPr>
        <w:pStyle w:val="ListBullet"/>
      </w:pPr>
      <w:r>
        <w:t>The CISO shall initiate a post-incident review within five (5) business days of incident containment.</w:t>
      </w:r>
    </w:p>
    <w:p>
      <w:pPr>
        <w:pStyle w:val="ListBullet"/>
      </w:pPr>
      <w:r>
        <w:t>The IRT will convene to conduct the review, with Legal Counsel participation.</w:t>
      </w:r>
    </w:p>
    <w:p>
      <w:pPr>
        <w:pStyle w:val="Heading3"/>
      </w:pPr>
      <w:r>
        <w:t>4.2. Collection of Incident Data</w:t>
      </w:r>
    </w:p>
    <w:p>
      <w:pPr>
        <w:pStyle w:val="ListBullet"/>
      </w:pPr>
      <w:r>
        <w:t>Gather all relevant documentation, including:</w:t>
      </w:r>
    </w:p>
    <w:p>
      <w:pPr>
        <w:pStyle w:val="ListBullet"/>
      </w:pPr>
      <w:r>
        <w:t>Incident logs and timelines</w:t>
      </w:r>
    </w:p>
    <w:p>
      <w:pPr>
        <w:pStyle w:val="ListBullet"/>
      </w:pPr>
      <w:r>
        <w:t>Communications (internal and external)</w:t>
      </w:r>
    </w:p>
    <w:p>
      <w:pPr>
        <w:pStyle w:val="ListBullet"/>
      </w:pPr>
      <w:r>
        <w:t>Technical evidence (system logs, forensic reports)</w:t>
      </w:r>
    </w:p>
    <w:p>
      <w:pPr>
        <w:pStyle w:val="ListBullet"/>
      </w:pPr>
      <w:r>
        <w:t>Reports to OAIC or affected individuals (if applicable)</w:t>
      </w:r>
    </w:p>
    <w:p>
      <w:pPr>
        <w:pStyle w:val="ListBullet"/>
      </w:pPr>
      <w:r>
        <w:t>**Note:** According to recent data from the CybersecAI.IO platform, incidents have involved a wide range of regulated data fields, including but not limited to: full names, dates of birth, physical and billing addresses, email addresses, phone numbers, financial account details, credit card numbers, tax file numbers, Medicare numbers, driver's license numbers, login credentials, and Social Security Numbers (SSNs). These fields are highly sensitive and regulated under multiple regimes (see Section 5).</w:t>
      </w:r>
    </w:p>
    <w:p>
      <w:pPr>
        <w:pStyle w:val="Heading3"/>
      </w:pPr>
      <w:r>
        <w:t>4.3. Analysis</w:t>
      </w:r>
    </w:p>
    <w:p>
      <w:pPr>
        <w:pStyle w:val="ListBullet"/>
      </w:pPr>
      <w:r>
        <w:t>Assess:</w:t>
      </w:r>
    </w:p>
    <w:p>
      <w:pPr>
        <w:pStyle w:val="ListBullet"/>
      </w:pPr>
      <w:r>
        <w:t>Root cause(s) of the incident</w:t>
      </w:r>
    </w:p>
    <w:p>
      <w:pPr>
        <w:pStyle w:val="ListBullet"/>
      </w:pPr>
      <w:r>
        <w:t>Effectiveness of detection, response, and containment measures</w:t>
      </w:r>
    </w:p>
    <w:p>
      <w:pPr>
        <w:pStyle w:val="ListBullet"/>
      </w:pPr>
      <w:r>
        <w:t>Compliance with the Notifiable Data Breaches (NDB) scheme under the Privacy Act 1988 (Cth), as well as other applicable standards such as UK GDPR, PCI DSS, and CCPA/CPRA where relevant</w:t>
      </w:r>
    </w:p>
    <w:p>
      <w:pPr>
        <w:pStyle w:val="ListBullet"/>
      </w:pPr>
      <w:r>
        <w:t>Impact on individuals and business operations</w:t>
      </w:r>
    </w:p>
    <w:p>
      <w:pPr>
        <w:pStyle w:val="ListBullet"/>
      </w:pPr>
      <w:r>
        <w:t>**Expert Note:** CybersecAI.IO platform risk assessments have consistently rated incidents involving the above data types as “High Risk”, with auditor recommendations to quarantine files and notify data owners immediately. The presence of payment card data, authentication credentials, and government identifiers (e.g., TFN, Medicare number, SSN) significantly elevates the risk of identity theft and regulatory non-compliance.</w:t>
      </w:r>
    </w:p>
    <w:p>
      <w:pPr>
        <w:pStyle w:val="Heading3"/>
      </w:pPr>
      <w:r>
        <w:t>4.4. Identification of Improvement Opportunities</w:t>
      </w:r>
    </w:p>
    <w:p>
      <w:pPr>
        <w:pStyle w:val="ListBullet"/>
      </w:pPr>
      <w:r>
        <w:t>Identify gaps in:</w:t>
      </w:r>
    </w:p>
    <w:p>
      <w:pPr>
        <w:pStyle w:val="ListBullet"/>
      </w:pPr>
      <w:r>
        <w:t>Policies and procedures</w:t>
      </w:r>
    </w:p>
    <w:p>
      <w:pPr>
        <w:pStyle w:val="ListBullet"/>
      </w:pPr>
      <w:r>
        <w:t>Technical controls</w:t>
      </w:r>
    </w:p>
    <w:p>
      <w:pPr>
        <w:pStyle w:val="ListBullet"/>
      </w:pPr>
      <w:r>
        <w:t>Staff training and awareness</w:t>
      </w:r>
    </w:p>
    <w:p>
      <w:pPr>
        <w:pStyle w:val="ListBullet"/>
      </w:pPr>
      <w:r>
        <w:t>Incident response capabilities</w:t>
      </w:r>
    </w:p>
    <w:p>
      <w:pPr>
        <w:pStyle w:val="ListBullet"/>
      </w:pPr>
      <w:r>
        <w:t>**Expert Note:** CybersecAI.IO platform findings highlight recurring deficiencies in secure handling of regulated data, particularly in workflows involving credit card processing, payroll, and document management. Improvements should focus on minimising the collection and storage of sensitive data, enhancing access controls, and ensuring robust encryption and audit logging.</w:t>
      </w:r>
    </w:p>
    <w:p>
      <w:pPr>
        <w:pStyle w:val="Heading3"/>
      </w:pPr>
      <w:r>
        <w:t>4.5. Recommendations and Action Plan</w:t>
      </w:r>
    </w:p>
    <w:p>
      <w:pPr>
        <w:pStyle w:val="ListBullet"/>
      </w:pPr>
      <w:r>
        <w:t>Develop specific, measurable recommendations to address identified gaps.</w:t>
      </w:r>
    </w:p>
    <w:p>
      <w:pPr>
        <w:pStyle w:val="ListBullet"/>
      </w:pPr>
      <w:r>
        <w:t>Assign responsibilities and deadlines for implementation.</w:t>
      </w:r>
    </w:p>
    <w:p>
      <w:pPr>
        <w:pStyle w:val="ListBullet"/>
      </w:pPr>
      <w:r>
        <w:t>Prioritise actions based on risk and regulatory requirements.</w:t>
      </w:r>
    </w:p>
    <w:p>
      <w:pPr>
        <w:pStyle w:val="ListBullet"/>
      </w:pPr>
      <w:r>
        <w:t>**Expert Guidance:** Where incidents involve high-risk regulated data (as detected by CybersecAI.IO), immediate actions should include file quarantine, notification to affected individuals and authorities, and a review of data minimisation and retention practices.</w:t>
      </w:r>
    </w:p>
    <w:p>
      <w:pPr>
        <w:pStyle w:val="Heading3"/>
      </w:pPr>
      <w:r>
        <w:t>4.6. Reporting</w:t>
      </w:r>
    </w:p>
    <w:p>
      <w:pPr>
        <w:pStyle w:val="ListBullet"/>
      </w:pPr>
      <w:r>
        <w:t>Prepare a Post-Incident Review Report, including:</w:t>
      </w:r>
    </w:p>
    <w:p>
      <w:pPr>
        <w:pStyle w:val="ListBullet"/>
      </w:pPr>
      <w:r>
        <w:t>Executive summary</w:t>
      </w:r>
    </w:p>
    <w:p>
      <w:pPr>
        <w:pStyle w:val="ListBullet"/>
      </w:pPr>
      <w:r>
        <w:t>Incident overview and timeline</w:t>
      </w:r>
    </w:p>
    <w:p>
      <w:pPr>
        <w:pStyle w:val="ListBullet"/>
      </w:pPr>
      <w:r>
        <w:t>Findings and root cause analysis</w:t>
      </w:r>
    </w:p>
    <w:p>
      <w:pPr>
        <w:pStyle w:val="ListBullet"/>
      </w:pPr>
      <w:r>
        <w:t>Recommendations and action plan</w:t>
      </w:r>
    </w:p>
    <w:p>
      <w:pPr>
        <w:pStyle w:val="ListBullet"/>
      </w:pPr>
      <w:r>
        <w:t>Lessons learned</w:t>
      </w:r>
    </w:p>
    <w:p>
      <w:pPr>
        <w:pStyle w:val="ListBullet"/>
      </w:pPr>
      <w:r>
        <w:t>Submit the report to executive management and retain for audit purposes.</w:t>
      </w:r>
    </w:p>
    <w:p>
      <w:pPr>
        <w:pStyle w:val="ListBullet"/>
      </w:pPr>
      <w:r>
        <w:t>**Expert Note:** Reports should reference the specific data types and regulatory standards implicated, as identified by CybersecAI.IO’s automated assessments, to demonstrate due diligence and regulatory awareness.</w:t>
      </w:r>
    </w:p>
    <w:p>
      <w:pPr>
        <w:pStyle w:val="Heading3"/>
      </w:pPr>
      <w:r>
        <w:t>4.7. Implementation and Follow-Up</w:t>
      </w:r>
    </w:p>
    <w:p>
      <w:pPr>
        <w:pStyle w:val="ListBullet"/>
      </w:pPr>
      <w:r>
        <w:t>Responsible teams implement approved recommendations.</w:t>
      </w:r>
    </w:p>
    <w:p>
      <w:pPr>
        <w:pStyle w:val="ListBullet"/>
      </w:pPr>
      <w:r>
        <w:t>CISO monitors progress and ensures completion within agreed timeframes.</w:t>
      </w:r>
    </w:p>
    <w:p>
      <w:pPr>
        <w:pStyle w:val="ListBullet"/>
      </w:pPr>
      <w:r>
        <w:t>Conduct a follow-up review to verify effectiveness of improvements.</w:t>
      </w:r>
    </w:p>
    <w:p>
      <w:pPr>
        <w:pStyle w:val="ListBullet"/>
      </w:pPr>
      <w:r>
        <w:t>**Expert Note:** CybersecAI.IO platform recommends periodic re-scanning of systems and documents post-implementation to validate that high-risk data is no longer improperly stored or processed.</w:t>
      </w:r>
    </w:p>
    <w:p>
      <w:pPr>
        <w:pStyle w:val="Heading3"/>
      </w:pPr>
      <w:r>
        <w:t>4.8. Policy and Procedure Updates</w:t>
      </w:r>
    </w:p>
    <w:p>
      <w:pPr>
        <w:pStyle w:val="ListBullet"/>
      </w:pPr>
      <w:r>
        <w:t>Update relevant policies, procedures, and training materials to reflect lessons learned and improvements.</w:t>
      </w:r>
    </w:p>
    <w:p>
      <w:pPr>
        <w:pStyle w:val="ListBullet"/>
      </w:pPr>
      <w:r>
        <w:t>Communicate changes to all affected staff.</w:t>
      </w:r>
    </w:p>
    <w:p>
      <w:pPr>
        <w:pStyle w:val="ListBullet"/>
      </w:pPr>
      <w:r>
        <w:t>**Expert Note:** Training should specifically address the handling of high-risk data fields (e.g., credit card numbers, TFNs, SSNs, Medicare numbers) and the legal obligations under each applicable standard.</w:t>
      </w:r>
    </w:p>
    <w:p>
      <w:r>
        <w:br/>
      </w:r>
    </w:p>
    <w:p>
      <w:pPr>
        <w:pStyle w:val="Heading2"/>
      </w:pPr>
      <w:r>
        <w:t>5. Regulatory References</w:t>
      </w:r>
    </w:p>
    <w:p>
      <w:pPr>
        <w:pStyle w:val="ListBullet"/>
      </w:pPr>
      <w:r>
        <w:rPr>
          <w:b/>
        </w:rPr>
        <w:t>Privacy Act 1988 (Cth)</w:t>
      </w:r>
    </w:p>
    <w:p>
      <w:pPr>
        <w:pStyle w:val="ListBullet"/>
      </w:pPr>
      <w:r>
        <w:rPr>
          <w:b/>
        </w:rPr>
        <w:t>OAIC Notifiable Data Breaches (NDB) Scheme Guidance</w:t>
      </w:r>
    </w:p>
    <w:p>
      <w:pPr>
        <w:pStyle w:val="ListBullet"/>
      </w:pPr>
      <w:r>
        <w:rPr>
          <w:b/>
        </w:rPr>
        <w:t>Australian Privacy Principles (APPs)</w:t>
      </w:r>
    </w:p>
    <w:p>
      <w:pPr>
        <w:pStyle w:val="ListBullet"/>
      </w:pPr>
      <w:r>
        <w:rPr>
          <w:b/>
        </w:rPr>
        <w:t>UK General Data Protection Regulation (UK GDPR)</w:t>
      </w:r>
    </w:p>
    <w:p>
      <w:pPr>
        <w:pStyle w:val="ListBullet"/>
      </w:pPr>
      <w:r>
        <w:rPr>
          <w:b/>
        </w:rPr>
        <w:t>Payment Card Industry Data Security Standard (PCI DSS)</w:t>
      </w:r>
    </w:p>
    <w:p>
      <w:pPr>
        <w:pStyle w:val="ListBullet"/>
      </w:pPr>
      <w:r>
        <w:rPr>
          <w:b/>
        </w:rPr>
        <w:t>California Consumer Privacy Act / California Privacy Rights Act (CCPA/CPRA)</w:t>
      </w:r>
    </w:p>
    <w:p>
      <w:pPr>
        <w:pStyle w:val="ListBullet"/>
      </w:pPr>
      <w:r>
        <w:rPr>
          <w:b/>
        </w:rPr>
        <w:t>Other relevant international privacy and data protection laws as applicable</w:t>
      </w:r>
    </w:p>
    <w:p>
      <w:r>
        <w:br/>
      </w:r>
    </w:p>
    <w:p>
      <w:pPr>
        <w:pStyle w:val="Heading2"/>
      </w:pPr>
      <w:r>
        <w:t>6. Recordkeeping</w:t>
      </w:r>
    </w:p>
    <w:p>
      <w:pPr>
        <w:pStyle w:val="ListBullet"/>
      </w:pPr>
      <w:r>
        <w:t>All records relating to the post-incident review, including reports, action plans, and evidence of implementation, must be securely retained in accordance with the company’s Recordkeeping Policy and relevant legal requirements.</w:t>
      </w:r>
    </w:p>
    <w:p>
      <w:pPr>
        <w:pStyle w:val="ListBullet"/>
      </w:pPr>
      <w:r>
        <w:t>**Expert Note:** CybersecAI.IO platform data indicates that records involving high-risk regulated data must be subject to enhanced security controls and retention limitations, particularly where government identifiers or payment data are present.</w:t>
      </w:r>
    </w:p>
    <w:p>
      <w:r>
        <w:br/>
      </w:r>
    </w:p>
    <w:p>
      <w:pPr>
        <w:pStyle w:val="Heading2"/>
      </w:pPr>
      <w:r>
        <w:t>7. Continuous Improvement</w:t>
      </w:r>
    </w:p>
    <w:p>
      <w:pPr>
        <w:pStyle w:val="ListBullet"/>
      </w:pPr>
      <w:r>
        <w:t>The CISO shall ensure that insights from post-incident reviews inform the ongoing development of CybersecAI.IO Pty Ltd’s information security and privacy frameworks.</w:t>
      </w:r>
    </w:p>
    <w:p>
      <w:pPr>
        <w:pStyle w:val="ListBullet"/>
      </w:pPr>
      <w:r>
        <w:t>**Expert Note:** Regular review of CybersecAI.IO platform analytics and auditor recommendations is required to maintain a proactive security posture and regulatory compliance.</w:t>
      </w:r>
    </w:p>
    <w:p>
      <w:r>
        <w:br/>
      </w:r>
    </w:p>
    <w:p>
      <w:r>
        <w:t xml:space="preserve">**Approval:**  </w:t>
      </w:r>
    </w:p>
    <w:p>
      <w:r>
        <w:t xml:space="preserve">[Name, Title]  </w:t>
      </w:r>
    </w:p>
    <w:p>
      <w:r>
        <w:t>[Date]</w:t>
      </w:r>
    </w:p>
    <w:p>
      <w:r>
        <w:br/>
      </w:r>
    </w:p>
    <w:p>
      <w:r>
        <w:t>*This Procedure is subject to periodic review and may be updated to reflect changes in law, regulation, or business operations.*</w:t>
      </w:r>
    </w:p>
    <w:p>
      <w:r>
        <w:br/>
      </w:r>
    </w:p>
    <w:p>
      <w:r>
        <w:t xml:space="preserve">**Data Source:**  </w:t>
      </w:r>
    </w:p>
    <w:p>
      <w:r>
        <w:t>All embedded risk and regulatory data, as well as expert recommendations, are derived from the CybersecAI.IO platform’s automated data classification and risk assessment outputs (see M365 and SMB source files for detailed audit logs and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